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Rule="auto" w:line="304" w:after="300"/>
        <w:jc w:val="center"/>
      </w:pPr>
      <w:r>
        <w:rPr>
          <w:rFonts w:ascii="Arial" w:hAnsi="Arial" w:eastAsia="Arial" w:cs="Arial"/>
          <w:color w:val="333333"/>
          <w:sz w:val="120"/>
        </w:rPr>
        <w:t>🏀</w:t>
      </w:r>
    </w:p>
    <w:p>
      <w:pPr>
        <w:spacing w:lineRule="auto" w:line="304" w:after="600"/>
        <w:jc w:val="center"/>
      </w:pPr>
      <w:r>
        <w:rPr>
          <w:rFonts w:ascii="Arial" w:hAnsi="Arial" w:eastAsia="Arial" w:cs="Arial"/>
          <w:b w:val="0"/>
          <w:color w:val="F0A050"/>
          <w:sz w:val="22"/>
        </w:rPr>
        <w:t>INEFC — Universitat de Barcelona</w:t>
      </w:r>
    </w:p>
    <w:tbl>
      <w:tblPr>
        <w:tblW w:type="auto" w:w="0"/>
        <w:tblLook w:firstColumn="1" w:firstRow="1" w:lastColumn="0" w:lastRow="0" w:noHBand="0" w:noVBand="1" w:val="04A0"/>
        <w:jc w:val="center"/>
        <w:tblBorders>
          <w:top w:val="nil"/>
          <w:left w:val="nil"/>
          <w:bottom w:val="nil"/>
          <w:right w:val="nil"/>
          <w:insideH w:val="nil"/>
          <w:insideV w:val="nil"/>
        </w:tblBorders>
      </w:tblPr>
      <w:tblGrid>
        <w:gridCol w:w="10800"/>
      </w:tblGrid>
      <w:tr>
        <w:tc>
          <w:tcPr>
            <w:tcW w:type="dxa" w:w="10800"/>
            <w:tcBorders>
              <w:top w:val="nil"/>
              <w:left w:val="nil"/>
              <w:bottom w:val="nil"/>
              <w:right w:val="nil"/>
            </w:tcBorders>
          </w:tcPr>
        </w:tc>
      </w:tr>
    </w:tbl>
    <w:p>
      <w:pPr>
        <w:pStyle w:val="Heading1"/>
        <w:pBdr>
          <w:bottom w:val="single" w:sz="18" w:space="0" w:color="2980B9"/>
        </w:pBdr>
        <w:spacing w:lineRule="auto" w:line="257" w:after="645"/>
        <w:jc w:val="center"/>
      </w:pPr>
      <w:r>
        <w:rPr>
          <w:rFonts w:ascii="Arial" w:hAnsi="Arial" w:eastAsia="Arial" w:cs="Arial"/>
          <w:b/>
          <w:color w:val="FFFFFF"/>
        </w:rPr>
        <w:t xml:space="preserve"> El Bàsquet Femení a </w:t>
      </w:r>
      <w:r>
        <w:rPr>
          <w:rFonts w:ascii="Arial" w:hAnsi="Arial" w:eastAsia="Arial" w:cs="Arial"/>
          <w:b/>
          <w:color w:val="FF8C2A"/>
        </w:rPr>
        <w:t>Barcelona</w:t>
      </w:r>
      <w:r>
        <w:rPr>
          <w:rFonts w:ascii="Arial" w:hAnsi="Arial" w:eastAsia="Arial" w:cs="Arial"/>
          <w:b/>
          <w:color w:val="FFFFFF"/>
        </w:rPr>
        <w:t>,</w:t>
      </w:r>
      <w:r>
        <w:br/>
      </w:r>
      <w:r>
        <w:rPr>
          <w:rFonts w:ascii="Arial" w:hAnsi="Arial" w:eastAsia="Arial" w:cs="Arial"/>
          <w:b/>
          <w:color w:val="FFFFFF"/>
        </w:rPr>
        <w:t xml:space="preserve">Catalunya i Espanya </w:t>
      </w:r>
    </w:p>
    <w:tbl>
      <w:tblPr>
        <w:tblW w:type="auto" w:w="0"/>
        <w:tblLook w:firstColumn="1" w:firstRow="1" w:lastColumn="0" w:lastRow="0" w:noHBand="0" w:noVBand="1" w:val="04A0"/>
        <w:jc w:val="center"/>
        <w:tblBorders>
          <w:top w:val="nil"/>
          <w:left w:val="nil"/>
          <w:bottom w:val="nil"/>
          <w:right w:val="nil"/>
          <w:insideH w:val="nil"/>
          <w:insideV w:val="nil"/>
        </w:tblBorders>
      </w:tblPr>
      <w:tblGrid>
        <w:gridCol w:w="10800"/>
      </w:tblGrid>
      <w:tr>
        <w:tc>
          <w:tcPr>
            <w:tcW w:type="dxa" w:w="10800"/>
            <w:tcBorders>
              <w:top w:val="nil"/>
              <w:left w:val="nil"/>
              <w:bottom w:val="nil"/>
              <w:right w:val="nil"/>
            </w:tcBorders>
          </w:tcPr>
        </w:tc>
      </w:tr>
    </w:tbl>
    <w:p>
      <w:pPr>
        <w:spacing w:lineRule="auto" w:line="294" w:after="900"/>
        <w:jc w:val="both"/>
      </w:pPr>
      <w:r>
        <w:rPr>
          <w:rFonts w:ascii="Arial" w:hAnsi="Arial" w:eastAsia="Arial" w:cs="Arial"/>
          <w:b w:val="0"/>
          <w:color w:val="C8D8F0"/>
        </w:rPr>
        <w:t xml:space="preserve"> Anàlisi Estructural, Bretxa de Gènere</w:t>
      </w:r>
      <w:r>
        <w:br/>
      </w:r>
      <w:r>
        <w:rPr>
          <w:rFonts w:ascii="Arial" w:hAnsi="Arial" w:eastAsia="Arial" w:cs="Arial"/>
          <w:b w:val="0"/>
          <w:color w:val="C8D8F0"/>
        </w:rPr>
        <w:t xml:space="preserve">i Propostes de Millora </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shd w:val="clear" w:color="auto" w:fill="FFFFFF"/>
            <w:tcMar>
              <w:top w:w="150" w:type="dxa"/>
              <w:bottom w:w="150" w:type="dxa"/>
              <w:start w:w="420" w:type="dxa"/>
              <w:end w:w="420" w:type="dxa"/>
            </w:tcMar>
          </w:tcPr>
          <w:p/>
          <w:p>
            <w:r>
              <w:rPr>
                <w:color w:val="FFFFFF"/>
              </w:rPr>
              <w:t>Sociologia de l'Esport</w:t>
            </w:r>
          </w:p>
        </w:tc>
        <w:tc>
          <w:tcPr>
            <w:tcW w:type="dxa" w:w="3490"/>
            <w:tcBorders>
              <w:top w:val="nil"/>
              <w:left w:val="nil"/>
              <w:bottom w:val="nil"/>
              <w:right w:val="nil"/>
            </w:tcBorders>
            <w:shd w:val="clear" w:color="auto" w:fill="FFFFFF"/>
            <w:tcMar>
              <w:top w:w="150" w:type="dxa"/>
              <w:bottom w:w="150" w:type="dxa"/>
              <w:start w:w="420" w:type="dxa"/>
              <w:end w:w="420" w:type="dxa"/>
            </w:tcMar>
          </w:tcPr>
          <w:p/>
          <w:p>
            <w:r>
              <w:rPr>
                <w:color w:val="FFFFFF"/>
              </w:rPr>
              <w:t>2026</w:t>
            </w:r>
          </w:p>
        </w:tc>
        <w:tc>
          <w:tcPr>
            <w:tcW w:type="dxa" w:w="3490"/>
            <w:tcBorders>
              <w:top w:val="nil"/>
              <w:left w:val="nil"/>
              <w:bottom w:val="nil"/>
              <w:right w:val="nil"/>
            </w:tcBorders>
            <w:shd w:val="clear" w:color="auto" w:fill="FFFFFF"/>
            <w:tcMar>
              <w:top w:w="150" w:type="dxa"/>
              <w:bottom w:w="150" w:type="dxa"/>
              <w:start w:w="420" w:type="dxa"/>
              <w:end w:w="420" w:type="dxa"/>
            </w:tcMar>
          </w:tcPr>
          <w:p/>
          <w:p>
            <w:r>
              <w:rPr>
                <w:color w:val="FFFFFF"/>
              </w:rPr>
              <w:t>Gestió Estratègica</w:t>
            </w:r>
          </w:p>
        </w:tc>
      </w:tr>
    </w:tbl>
    <w:p>
      <w:pPr>
        <w:spacing w:lineRule="auto" w:line="304"/>
        <w:jc w:val="center"/>
      </w:pPr>
      <w:r>
        <w:rPr>
          <w:rFonts w:ascii="Arial" w:hAnsi="Arial" w:eastAsia="Arial" w:cs="Arial"/>
          <w:color w:val="FFFFFF"/>
          <w:sz w:val="18"/>
        </w:rPr>
        <w:t xml:space="preserve"> Informe Unificat • Arquitectura Estratègica i Bretxa de Gènere en el Bàsquet • 2024-2026 </w:t>
      </w:r>
    </w:p>
    <w:tbl>
      <w:tblPr>
        <w:tblW w:type="auto" w:w="0"/>
        <w:tblLook w:firstColumn="1" w:firstRow="1" w:lastColumn="0" w:lastRow="0" w:noHBand="0" w:noVBand="1" w:val="04A0"/>
        <w:tblBorders>
          <w:top w:val="nil"/>
          <w:left w:val="nil"/>
          <w:bottom w:val="nil"/>
          <w:right w:val="nil"/>
          <w:insideH w:val="nil"/>
          <w:insideV w:val="nil"/>
        </w:tblBorders>
      </w:tblPr>
      <w:tblGrid>
        <w:gridCol w:w="10800"/>
      </w:tblGrid>
      <w:tr>
        <w:tc>
          <w:tcPr>
            <w:tcW w:type="dxa" w:w="10800"/>
            <w:tcBorders>
              <w:top w:val="nil"/>
              <w:left w:val="nil"/>
              <w:bottom w:val="nil"/>
              <w:right w:val="nil"/>
            </w:tcBorders>
            <w:shd w:val="clear" w:color="auto" w:fill="F8FAFC"/>
            <w:tcMar>
              <w:top w:w="1050" w:type="dxa"/>
              <w:bottom w:w="1050" w:type="dxa"/>
              <w:start w:w="900" w:type="dxa"/>
              <w:end w:w="900" w:type="dxa"/>
            </w:tcMar>
          </w:tcPr>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tc>
              <w:tc>
                <w:tcPr>
                  <w:tcW w:type="dxa" w:w="3490"/>
                  <w:tcBorders>
                    <w:top w:val="nil"/>
                    <w:left w:val="nil"/>
                    <w:bottom w:val="nil"/>
                    <w:right w:val="nil"/>
                  </w:tcBorders>
                </w:tcPr>
                <w:p/>
                <w:p>
                  <w:r>
                    <w:rPr>
                      <w:color w:val="E87020"/>
                    </w:rPr>
                    <w:t>Índex de Continguts</w:t>
                  </w:r>
                </w:p>
              </w:tc>
              <w:tc>
                <w:tcPr>
                  <w:tcW w:type="dxa" w:w="3490"/>
                  <w:tcBorders>
                    <w:top w:val="nil"/>
                    <w:left w:val="nil"/>
                    <w:bottom w:val="nil"/>
                    <w:right w:val="nil"/>
                  </w:tcBorders>
                </w:tcPr>
                <w:p/>
              </w:tc>
            </w:tr>
          </w:tbl>
          <w:p/>
          <w:p>
            <w:pPr>
              <w:pStyle w:val="Heading2"/>
              <w:pBdr>
                <w:bottom w:val="single" w:sz="12" w:space="0" w:color="ECF0F1"/>
              </w:pBdr>
              <w:spacing w:lineRule="auto" w:line="304" w:after="210" w:before="750"/>
            </w:pPr>
            <w:r>
              <w:rPr>
                <w:rFonts w:ascii="Arial" w:hAnsi="Arial" w:eastAsia="Arial" w:cs="Arial"/>
                <w:b/>
                <w:color w:val="0A1628"/>
                <w:sz w:val="52"/>
              </w:rPr>
              <w:t>Taula de Continguts</w:t>
            </w:r>
          </w:p>
          <w:p>
            <w:pPr>
              <w:spacing w:lineRule="auto" w:line="304" w:after="600"/>
              <w:jc w:val="both"/>
            </w:pPr>
            <w:r>
              <w:rPr>
                <w:rFonts w:ascii="Arial" w:hAnsi="Arial" w:eastAsia="Arial" w:cs="Arial"/>
                <w:i/>
                <w:color w:val="5A6880"/>
                <w:sz w:val="21"/>
              </w:rPr>
              <w:t>El Bàsquet Femení a Barcelona, Catalunya i Espanya — 2026</w:t>
            </w:r>
          </w:p>
          <w:tbl>
            <w:tblPr>
              <w:tblW w:type="auto" w:w="0"/>
              <w:tblLook w:firstColumn="1" w:firstRow="1" w:lastColumn="0" w:lastRow="0" w:noHBand="0" w:noVBand="1" w:val="04A0"/>
              <w:jc w:val="center"/>
              <w:tblBorders>
                <w:top w:val="nil"/>
                <w:left w:val="nil"/>
                <w:bottom w:val="nil"/>
                <w:right w:val="nil"/>
                <w:insideH w:val="nil"/>
                <w:insideV w:val="nil"/>
              </w:tblBorders>
            </w:tblPr>
            <w:tblGrid>
              <w:gridCol w:w="10800"/>
            </w:tblGrid>
            <w:tr>
              <w:tc>
                <w:tcPr>
                  <w:tcW w:type="dxa" w:w="10800"/>
                  <w:tcBorders>
                    <w:top w:val="nil"/>
                    <w:left w:val="nil"/>
                    <w:bottom w:val="nil"/>
                    <w:right w:val="nil"/>
                  </w:tcBorders>
                </w:tcPr>
              </w:tc>
            </w:tr>
          </w:tbl>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01</w:t>
                  </w:r>
                </w:p>
              </w:tc>
              <w:tc>
                <w:tcPr>
                  <w:tcW w:type="dxa" w:w="3490"/>
                  <w:tcBorders>
                    <w:top w:val="nil"/>
                    <w:left w:val="nil"/>
                    <w:bottom w:val="nil"/>
                    <w:right w:val="nil"/>
                  </w:tcBorders>
                </w:tcPr>
                <w:p/>
                <w:p>
                  <w:r>
                    <w:rPr>
                      <w:color w:val="0A1628"/>
                    </w:rPr>
                    <w:t>Context Global: La Bretxa de Gènere en el Bàsquet Mundial</w:t>
                  </w:r>
                </w:p>
              </w:tc>
              <w:tc>
                <w:tcPr>
                  <w:tcW w:type="dxa" w:w="3490"/>
                  <w:tcBorders>
                    <w:top w:val="nil"/>
                    <w:left w:val="nil"/>
                    <w:bottom w:val="nil"/>
                    <w:right w:val="nil"/>
                  </w:tcBorders>
                  <w:tcMar>
                    <w:top w:w="0" w:type="dxa"/>
                    <w:bottom w:w="60" w:type="dxa"/>
                    <w:start w:w="150" w:type="dxa"/>
                    <w:end w:w="150" w:type="dxa"/>
                  </w:tcMar>
                </w:tcPr>
                <w:p/>
              </w:tc>
            </w:tr>
          </w:tbl>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1.1</w:t>
            </w:r>
            <w:hyperlink w:anchor="section-1-1">
              <w:r>
                <w:rPr>
                  <w:rFonts w:ascii="Arial" w:hAnsi="Arial" w:eastAsia="Arial" w:cs="Arial"/>
                  <w:color w:val="2C4060"/>
                  <w:sz w:val="21"/>
                  <w:szCs w:val="21"/>
                </w:rPr>
                <w:t xml:space="preserve">NBA vs. WNBA: Disparitat i Creixement</w:t>
              </w:r>
            </w:hyperlink>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1.2</w:t>
            </w:r>
            <w:hyperlink w:anchor="section-1-2">
              <w:r>
                <w:rPr>
                  <w:rFonts w:ascii="Arial" w:hAnsi="Arial" w:eastAsia="Arial" w:cs="Arial"/>
                  <w:color w:val="2C4060"/>
                  <w:sz w:val="21"/>
                  <w:szCs w:val="21"/>
                </w:rPr>
                <w:t xml:space="preserve">El Bàsquet Femení a Europa</w:t>
              </w:r>
            </w:hyperlink>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02</w:t>
                  </w:r>
                </w:p>
              </w:tc>
              <w:tc>
                <w:tcPr>
                  <w:tcW w:type="dxa" w:w="3490"/>
                  <w:tcBorders>
                    <w:top w:val="nil"/>
                    <w:left w:val="nil"/>
                    <w:bottom w:val="nil"/>
                    <w:right w:val="nil"/>
                  </w:tcBorders>
                </w:tcPr>
                <w:p/>
                <w:p>
                  <w:r>
                    <w:rPr>
                      <w:color w:val="0A1628"/>
                    </w:rPr>
                    <w:t>Context Espanyol: Llicències, Piràmides i Governança</w:t>
                  </w:r>
                </w:p>
              </w:tc>
              <w:tc>
                <w:tcPr>
                  <w:tcW w:type="dxa" w:w="3490"/>
                  <w:tcBorders>
                    <w:top w:val="nil"/>
                    <w:left w:val="nil"/>
                    <w:bottom w:val="nil"/>
                    <w:right w:val="nil"/>
                  </w:tcBorders>
                  <w:tcMar>
                    <w:top w:w="0" w:type="dxa"/>
                    <w:bottom w:w="60" w:type="dxa"/>
                    <w:start w:w="150" w:type="dxa"/>
                    <w:end w:w="150" w:type="dxa"/>
                  </w:tcMar>
                </w:tcPr>
                <w:p/>
              </w:tc>
            </w:tr>
          </w:tbl>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2.1</w:t>
            </w:r>
            <w:hyperlink w:anchor="section-2-1">
              <w:r>
                <w:rPr>
                  <w:rFonts w:ascii="Arial" w:hAnsi="Arial" w:eastAsia="Arial" w:cs="Arial"/>
                  <w:color w:val="2C4060"/>
                  <w:sz w:val="21"/>
                  <w:szCs w:val="21"/>
                </w:rPr>
                <w:t xml:space="preserve">Llicències i Participació</w:t>
              </w:r>
            </w:hyperlink>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2.2</w:t>
            </w:r>
            <w:hyperlink w:anchor="section-2-2">
              <w:r>
                <w:rPr>
                  <w:rFonts w:ascii="Arial" w:hAnsi="Arial" w:eastAsia="Arial" w:cs="Arial"/>
                  <w:color w:val="2C4060"/>
                  <w:sz w:val="21"/>
                  <w:szCs w:val="21"/>
                </w:rPr>
                <w:t xml:space="preserve">L'Embut de les Entrenadores i la Governança</w:t>
              </w:r>
            </w:hyperlink>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03</w:t>
                  </w:r>
                </w:p>
              </w:tc>
              <w:tc>
                <w:tcPr>
                  <w:tcW w:type="dxa" w:w="3490"/>
                  <w:tcBorders>
                    <w:top w:val="nil"/>
                    <w:left w:val="nil"/>
                    <w:bottom w:val="nil"/>
                    <w:right w:val="nil"/>
                  </w:tcBorders>
                </w:tcPr>
                <w:p/>
                <w:p>
                  <w:r>
                    <w:rPr>
                      <w:color w:val="0A1628"/>
                    </w:rPr>
                    <w:t>Context Català: Hegemonia i Descentralització</w:t>
                  </w:r>
                </w:p>
              </w:tc>
              <w:tc>
                <w:tcPr>
                  <w:tcW w:type="dxa" w:w="3490"/>
                  <w:tcBorders>
                    <w:top w:val="nil"/>
                    <w:left w:val="nil"/>
                    <w:bottom w:val="nil"/>
                    <w:right w:val="nil"/>
                  </w:tcBorders>
                  <w:tcMar>
                    <w:top w:w="0" w:type="dxa"/>
                    <w:bottom w:w="60" w:type="dxa"/>
                    <w:start w:w="150" w:type="dxa"/>
                    <w:end w:w="150" w:type="dxa"/>
                  </w:tcMar>
                </w:tcPr>
                <w:p/>
              </w:tc>
            </w:tr>
          </w:tbl>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04</w:t>
                  </w:r>
                </w:p>
              </w:tc>
              <w:tc>
                <w:tcPr>
                  <w:tcW w:type="dxa" w:w="3490"/>
                  <w:tcBorders>
                    <w:top w:val="nil"/>
                    <w:left w:val="nil"/>
                    <w:bottom w:val="nil"/>
                    <w:right w:val="nil"/>
                  </w:tcBorders>
                </w:tcPr>
                <w:p/>
                <w:p>
                  <w:r>
                    <w:rPr>
                      <w:color w:val="0A1628"/>
                    </w:rPr>
                    <w:t>L'Anomalia de Barcelona: El Buit Competitiu</w:t>
                  </w:r>
                </w:p>
              </w:tc>
              <w:tc>
                <w:tcPr>
                  <w:tcW w:type="dxa" w:w="3490"/>
                  <w:tcBorders>
                    <w:top w:val="nil"/>
                    <w:left w:val="nil"/>
                    <w:bottom w:val="nil"/>
                    <w:right w:val="nil"/>
                  </w:tcBorders>
                  <w:tcMar>
                    <w:top w:w="0" w:type="dxa"/>
                    <w:bottom w:w="60" w:type="dxa"/>
                    <w:start w:w="150" w:type="dxa"/>
                    <w:end w:w="150" w:type="dxa"/>
                  </w:tcMar>
                </w:tcPr>
                <w:p/>
              </w:tc>
            </w:tr>
          </w:tbl>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4.1</w:t>
            </w:r>
            <w:hyperlink w:anchor="section-4-1">
              <w:r>
                <w:rPr>
                  <w:rFonts w:ascii="Arial" w:hAnsi="Arial" w:eastAsia="Arial" w:cs="Arial"/>
                  <w:color w:val="2C4060"/>
                  <w:sz w:val="21"/>
                  <w:szCs w:val="21"/>
                </w:rPr>
                <w:t xml:space="preserve">Diagnòstic de la Situació</w:t>
              </w:r>
            </w:hyperlink>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4.2</w:t>
            </w:r>
            <w:hyperlink w:anchor="section-4-2">
              <w:r>
                <w:rPr>
                  <w:rFonts w:ascii="Arial" w:hAnsi="Arial" w:eastAsia="Arial" w:cs="Arial"/>
                  <w:color w:val="2C4060"/>
                  <w:sz w:val="21"/>
                  <w:szCs w:val="21"/>
                </w:rPr>
                <w:t xml:space="preserve">Causes Estructurals del Dèficit</w:t>
              </w:r>
            </w:hyperlink>
          </w:p>
          <w:p>
            <w:pPr>
              <w:pStyle w:val="ListBullet2"/>
              <w:pBdr>
                <w:bottom w:val="single" w:sz="6" w:space="0" w:color="EDF0F4"/>
              </w:pBdr>
              <w:spacing w:lineRule="auto" w:line="304" w:before="75" w:after="75"/>
              <w:ind w:left="720" w:right="0"/>
            </w:pPr>
            <w:r>
              <w:rPr>
                <w:rFonts w:ascii="Arial" w:hAnsi="Arial" w:eastAsia="Arial" w:cs="Arial"/>
                <w:b w:val="0"/>
                <w:color w:val="8EA0B8"/>
                <w:sz w:val="17"/>
              </w:rPr>
              <w:t>4.3</w:t>
            </w:r>
            <w:hyperlink w:anchor="section-4-3">
              <w:r>
                <w:rPr>
                  <w:rFonts w:ascii="Arial" w:hAnsi="Arial" w:eastAsia="Arial" w:cs="Arial"/>
                  <w:color w:val="2C4060"/>
                  <w:sz w:val="21"/>
                  <w:szCs w:val="21"/>
                </w:rPr>
                <w:t xml:space="preserve">Comparativa amb Madrid i València</w:t>
              </w:r>
            </w:hyperlink>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05</w:t>
                  </w:r>
                </w:p>
              </w:tc>
              <w:tc>
                <w:tcPr>
                  <w:tcW w:type="dxa" w:w="3490"/>
                  <w:tcBorders>
                    <w:top w:val="nil"/>
                    <w:left w:val="nil"/>
                    <w:bottom w:val="nil"/>
                    <w:right w:val="nil"/>
                  </w:tcBorders>
                </w:tcPr>
                <w:p/>
                <w:p>
                  <w:r>
                    <w:rPr>
                      <w:color w:val="0A1628"/>
                    </w:rPr>
                    <w:t>L'Abandonament Femení i els seus Factors</w:t>
                  </w:r>
                </w:p>
              </w:tc>
              <w:tc>
                <w:tcPr>
                  <w:tcW w:type="dxa" w:w="3490"/>
                  <w:tcBorders>
                    <w:top w:val="nil"/>
                    <w:left w:val="nil"/>
                    <w:bottom w:val="nil"/>
                    <w:right w:val="nil"/>
                  </w:tcBorders>
                  <w:tcMar>
                    <w:top w:w="0" w:type="dxa"/>
                    <w:bottom w:w="60" w:type="dxa"/>
                    <w:start w:w="150" w:type="dxa"/>
                    <w:end w:w="150" w:type="dxa"/>
                  </w:tcMar>
                </w:tcPr>
                <w:p/>
              </w:tc>
            </w:tr>
          </w:tbl>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06</w:t>
                  </w:r>
                </w:p>
              </w:tc>
              <w:tc>
                <w:tcPr>
                  <w:tcW w:type="dxa" w:w="3490"/>
                  <w:tcBorders>
                    <w:top w:val="nil"/>
                    <w:left w:val="nil"/>
                    <w:bottom w:val="nil"/>
                    <w:right w:val="nil"/>
                  </w:tcBorders>
                </w:tcPr>
                <w:p/>
                <w:p>
                  <w:r>
                    <w:rPr>
                      <w:color w:val="0A1628"/>
                    </w:rPr>
                    <w:t>El 8M en l'Esport: De la Simbòlica a l'Estructural</w:t>
                  </w:r>
                </w:p>
              </w:tc>
              <w:tc>
                <w:tcPr>
                  <w:tcW w:type="dxa" w:w="3490"/>
                  <w:tcBorders>
                    <w:top w:val="nil"/>
                    <w:left w:val="nil"/>
                    <w:bottom w:val="nil"/>
                    <w:right w:val="nil"/>
                  </w:tcBorders>
                  <w:tcMar>
                    <w:top w:w="0" w:type="dxa"/>
                    <w:bottom w:w="60" w:type="dxa"/>
                    <w:start w:w="150" w:type="dxa"/>
                    <w:end w:w="150" w:type="dxa"/>
                  </w:tcMar>
                </w:tcPr>
                <w:p/>
              </w:tc>
            </w:tr>
          </w:tbl>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07</w:t>
                  </w:r>
                </w:p>
              </w:tc>
              <w:tc>
                <w:tcPr>
                  <w:tcW w:type="dxa" w:w="3490"/>
                  <w:tcBorders>
                    <w:top w:val="nil"/>
                    <w:left w:val="nil"/>
                    <w:bottom w:val="nil"/>
                    <w:right w:val="nil"/>
                  </w:tcBorders>
                </w:tcPr>
                <w:p/>
                <w:p>
                  <w:r>
                    <w:rPr>
                      <w:color w:val="0A1628"/>
                    </w:rPr>
                    <w:t>Pla Estratègic: Barcelona Capital del Bàsquet 2026-2030</w:t>
                  </w:r>
                </w:p>
              </w:tc>
              <w:tc>
                <w:tcPr>
                  <w:tcW w:type="dxa" w:w="3490"/>
                  <w:tcBorders>
                    <w:top w:val="nil"/>
                    <w:left w:val="nil"/>
                    <w:bottom w:val="nil"/>
                    <w:right w:val="nil"/>
                  </w:tcBorders>
                  <w:tcMar>
                    <w:top w:w="0" w:type="dxa"/>
                    <w:bottom w:w="60" w:type="dxa"/>
                    <w:start w:w="150" w:type="dxa"/>
                    <w:end w:w="150" w:type="dxa"/>
                  </w:tcMar>
                </w:tcPr>
                <w:p/>
              </w:tc>
            </w:tr>
          </w:tbl>
          <w:p/>
          <w:p>
            <w:pPr>
              <w:pStyle w:val="ListBullet"/>
              <w:spacing w:lineRule="auto" w:line="304" w:after="0"/>
              <w:ind w:left="36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08</w:t>
                  </w:r>
                </w:p>
              </w:tc>
              <w:tc>
                <w:tcPr>
                  <w:tcW w:type="dxa" w:w="3490"/>
                  <w:tcBorders>
                    <w:top w:val="nil"/>
                    <w:left w:val="nil"/>
                    <w:bottom w:val="nil"/>
                    <w:right w:val="nil"/>
                  </w:tcBorders>
                </w:tcPr>
                <w:p/>
                <w:p>
                  <w:r>
                    <w:rPr>
                      <w:color w:val="0A1628"/>
                    </w:rPr>
                    <w:t>Conclusions i Línies de Recerca Futures</w:t>
                  </w:r>
                </w:p>
              </w:tc>
              <w:tc>
                <w:tcPr>
                  <w:tcW w:type="dxa" w:w="3490"/>
                  <w:tcBorders>
                    <w:top w:val="nil"/>
                    <w:left w:val="nil"/>
                    <w:bottom w:val="nil"/>
                    <w:right w:val="nil"/>
                  </w:tcBorders>
                  <w:tcMar>
                    <w:top w:w="0" w:type="dxa"/>
                    <w:bottom w:w="60" w:type="dxa"/>
                    <w:start w:w="150" w:type="dxa"/>
                    <w:end w:w="150" w:type="dxa"/>
                  </w:tcMar>
                </w:tcPr>
                <w:p/>
              </w:tc>
            </w:tr>
          </w:tbl>
          <w:p/>
          <w:p>
            <w:pPr>
              <w:pStyle w:val="ListBullet"/>
              <w:spacing w:lineRule="auto" w:line="304" w:after="0"/>
              <w:ind w:left="360"/>
            </w:pPr>
          </w:p>
          <w:tbl>
            <w:tblPr>
              <w:tblW w:type="auto" w:w="0"/>
              <w:tblLook w:firstColumn="1" w:firstRow="1" w:lastColumn="0" w:lastRow="0" w:noHBand="0" w:noVBand="1" w:val="04A0"/>
              <w:jc w:val="center"/>
              <w:tblBorders>
                <w:top w:val="nil"/>
                <w:left w:val="nil"/>
                <w:bottom w:val="nil"/>
                <w:right w:val="nil"/>
                <w:insideH w:val="nil"/>
                <w:insideV w:val="nil"/>
              </w:tblBorders>
            </w:tblPr>
            <w:tblGrid>
              <w:gridCol w:w="10800"/>
            </w:tblGrid>
            <w:tr>
              <w:tc>
                <w:tcPr>
                  <w:tcW w:type="dxa" w:w="10800"/>
                  <w:tcBorders>
                    <w:top w:val="nil"/>
                    <w:bottom w:val="nil"/>
                    <w:right w:val="nil"/>
                    <w:left w:val="single" w:sz="24" w:color="8E44AD"/>
                  </w:tcBorders>
                  <w:tcMar>
                    <w:top w:w="210" w:type="dxa"/>
                    <w:bottom w:w="210" w:type="dxa"/>
                    <w:start w:w="270" w:type="dxa"/>
                    <w:end w:w="270" w:type="dxa"/>
                  </w:tcMar>
                </w:tcPr>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3490"/>
                    <w:gridCol w:w="3490"/>
                    <w:gridCol w:w="3490"/>
                  </w:tblGrid>
                  <w:tr>
                    <w:tc>
                      <w:tcPr>
                        <w:tcW w:type="dxa" w:w="3490"/>
                        <w:tcBorders>
                          <w:top w:val="nil"/>
                          <w:left w:val="nil"/>
                          <w:bottom w:val="nil"/>
                          <w:right w:val="nil"/>
                        </w:tcBorders>
                      </w:tcPr>
                      <w:p/>
                      <w:p>
                        <w:r>
                          <w:rPr>
                            <w:color w:val="E87020"/>
                          </w:rPr>
                          <w:t>AN</w:t>
                        </w:r>
                      </w:p>
                    </w:tc>
                    <w:tc>
                      <w:tcPr>
                        <w:tcW w:type="dxa" w:w="3490"/>
                        <w:tcBorders>
                          <w:top w:val="nil"/>
                          <w:left w:val="nil"/>
                          <w:bottom w:val="nil"/>
                          <w:right w:val="nil"/>
                        </w:tcBorders>
                      </w:tcPr>
                      <w:p/>
                      <w:p>
                        <w:r>
                          <w:rPr>
                            <w:color w:val="0A1628"/>
                          </w:rPr>
                          <w:t>Annex: El Mètode Barna</w:t>
                        </w:r>
                      </w:p>
                    </w:tc>
                    <w:tc>
                      <w:tcPr>
                        <w:tcW w:type="dxa" w:w="3490"/>
                        <w:tcBorders>
                          <w:top w:val="nil"/>
                          <w:left w:val="nil"/>
                          <w:bottom w:val="nil"/>
                          <w:right w:val="nil"/>
                        </w:tcBorders>
                        <w:tcMar>
                          <w:top w:w="0" w:type="dxa"/>
                          <w:bottom w:w="60" w:type="dxa"/>
                          <w:start w:w="150" w:type="dxa"/>
                          <w:end w:w="150" w:type="dxa"/>
                        </w:tcMar>
                      </w:tcPr>
                      <w:p/>
                    </w:tc>
                  </w:tr>
                </w:tbl>
                <w:p>
                  <w:pPr>
                    <w:spacing w:before="300"/>
                  </w:pPr>
                </w:p>
                <w:p>
                  <w:pPr>
                    <w:pStyle w:val="ListBullet2"/>
                    <w:pBdr>
                      <w:bottom w:val="single" w:sz="6" w:space="0" w:color="E8DDF5"/>
                    </w:pBdr>
                    <w:spacing w:lineRule="auto" w:line="304" w:before="60" w:after="60"/>
                    <w:ind w:left="720" w:right="0"/>
                  </w:pPr>
                  <w:r>
                    <w:rPr>
                      <w:rFonts w:ascii="Arial" w:hAnsi="Arial" w:eastAsia="Arial" w:cs="Arial"/>
                      <w:b w:val="0"/>
                      <w:color w:val="8EA0B8"/>
                      <w:sz w:val="17"/>
                    </w:rPr>
                    <w:t>A.1</w:t>
                  </w:r>
                  <w:hyperlink w:anchor="section-9-1">
                    <w:r>
                      <w:rPr>
                        <w:rFonts w:ascii="Arial" w:hAnsi="Arial" w:eastAsia="Arial" w:cs="Arial"/>
                        <w:color w:val="2C4060"/>
                        <w:sz w:val="21"/>
                        <w:szCs w:val="21"/>
                      </w:rPr>
                      <w:t xml:space="preserve">Els Tres Pilars del Mètode</w:t>
                    </w:r>
                  </w:hyperlink>
                </w:p>
                <w:p>
                  <w:pPr>
                    <w:pStyle w:val="ListBullet2"/>
                    <w:pBdr>
                      <w:bottom w:val="single" w:sz="6" w:space="0" w:color="E8DDF5"/>
                    </w:pBdr>
                    <w:spacing w:lineRule="auto" w:line="304" w:before="60" w:after="60"/>
                    <w:ind w:left="720" w:right="0"/>
                  </w:pPr>
                  <w:r>
                    <w:rPr>
                      <w:rFonts w:ascii="Arial" w:hAnsi="Arial" w:eastAsia="Arial" w:cs="Arial"/>
                      <w:b w:val="0"/>
                      <w:color w:val="8EA0B8"/>
                      <w:sz w:val="17"/>
                    </w:rPr>
                    <w:t>A.2</w:t>
                  </w:r>
                  <w:hyperlink w:anchor="section-9-2">
                    <w:r>
                      <w:rPr>
                        <w:rFonts w:ascii="Arial" w:hAnsi="Arial" w:eastAsia="Arial" w:cs="Arial"/>
                        <w:color w:val="2C4060"/>
                        <w:sz w:val="21"/>
                        <w:szCs w:val="21"/>
                      </w:rPr>
                      <w:t xml:space="preserve">Patrons Ocults Revelats</w:t>
                    </w:r>
                  </w:hyperlink>
                </w:p>
                <w:p>
                  <w:pPr>
                    <w:pStyle w:val="ListBullet2"/>
                    <w:pBdr>
                      <w:bottom w:val="single" w:sz="6" w:space="0" w:color="E8DDF5"/>
                    </w:pBdr>
                    <w:spacing w:lineRule="auto" w:line="304" w:before="60" w:after="60"/>
                    <w:ind w:left="720" w:right="0"/>
                  </w:pPr>
                  <w:r>
                    <w:rPr>
                      <w:rFonts w:ascii="Arial" w:hAnsi="Arial" w:eastAsia="Arial" w:cs="Arial"/>
                      <w:b w:val="0"/>
                      <w:color w:val="8EA0B8"/>
                      <w:sz w:val="17"/>
                    </w:rPr>
                    <w:t>A.3</w:t>
                  </w:r>
                  <w:hyperlink w:anchor="section-9-3">
                    <w:r>
                      <w:rPr>
                        <w:rFonts w:ascii="Arial" w:hAnsi="Arial" w:eastAsia="Arial" w:cs="Arial"/>
                        <w:color w:val="2C4060"/>
                        <w:sz w:val="21"/>
                        <w:szCs w:val="21"/>
                      </w:rPr>
                      <w:t xml:space="preserve">El Fons Barna 8M</w:t>
                    </w:r>
                  </w:hyperlink>
                </w:p>
                <w:p>
                  <w:pPr>
                    <w:pStyle w:val="ListBullet2"/>
                    <w:pBdr>
                      <w:bottom w:val="single" w:sz="6" w:space="0" w:color="E8DDF5"/>
                    </w:pBdr>
                    <w:spacing w:lineRule="auto" w:line="304" w:before="60" w:after="60"/>
                    <w:ind w:left="720" w:right="0"/>
                  </w:pPr>
                  <w:r>
                    <w:rPr>
                      <w:rFonts w:ascii="Arial" w:hAnsi="Arial" w:eastAsia="Arial" w:cs="Arial"/>
                      <w:b w:val="0"/>
                      <w:color w:val="8EA0B8"/>
                      <w:sz w:val="17"/>
                    </w:rPr>
                    <w:t>A.4</w:t>
                  </w:r>
                  <w:hyperlink w:anchor="section-9-4">
                    <w:r>
                      <w:rPr>
                        <w:rFonts w:ascii="Arial" w:hAnsi="Arial" w:eastAsia="Arial" w:cs="Arial"/>
                        <w:color w:val="2C4060"/>
                        <w:sz w:val="21"/>
                        <w:szCs w:val="21"/>
                      </w:rPr>
                      <w:t xml:space="preserve">Replicabilitat</w:t>
                    </w:r>
                  </w:hyperlink>
                </w:p>
              </w:tc>
            </w:tr>
          </w:tbl>
          <w:p/>
        </w:tc>
      </w:tr>
    </w:tbl>
    <w:p>
      <w:bookmarkStart w:id="0" w:name="section-1"/>
      <w:pPr>
        <w:pStyle w:val="Heading1"/>
        <w:pBdr>
          <w:bottom w:val="single" w:sz="18" w:space="0" w:color="2980B9"/>
        </w:pBdr>
        <w:spacing w:lineRule="auto" w:line="304" w:after="825"/>
        <w:jc w:val="center"/>
      </w:pPr>
      <w:r>
        <w:rPr>
          <w:rFonts w:ascii="Arial" w:hAnsi="Arial" w:eastAsia="Arial" w:cs="Arial"/>
          <w:color w:val="1A365D"/>
          <w:sz w:val="60"/>
        </w:rPr>
        <w:t>INFORME UNIFICAT: RADIOGRAFIA COMPLETA DEL BÀSQUET A BARCELONA I CATALUNYA</w:t>
      </w:r>
      <w:bookmarkEnd w:id="0" w:name="section-1"/>
    </w:p>
    <w:tbl>
      <w:tblPr>
        <w:tblW w:type="auto" w:w="0"/>
        <w:tblLook w:firstColumn="1" w:firstRow="1" w:lastColumn="0" w:lastRow="0" w:noHBand="0" w:noVBand="1" w:val="04A0"/>
        <w:jc w:val="center"/>
        <w:tblBorders>
          <w:top w:val="nil"/>
          <w:left w:val="nil"/>
          <w:bottom w:val="nil"/>
          <w:right w:val="nil"/>
          <w:insideH w:val="nil"/>
          <w:insideV w:val="nil"/>
        </w:tblBorders>
      </w:tblPr>
      <w:tblGrid>
        <w:gridCol w:w="10800"/>
      </w:tblGrid>
      <w:tr>
        <w:tc>
          <w:tcPr>
            <w:tcW w:type="dxa" w:w="10800"/>
            <w:tcBorders>
              <w:top w:val="nil"/>
              <w:bottom w:val="nil"/>
              <w:right w:val="nil"/>
              <w:left w:val="single" w:sz="30" w:color="2980B9"/>
            </w:tcBorders>
            <w:shd w:val="clear" w:color="auto" w:fill="E8F4F8"/>
            <w:tcMar>
              <w:top w:w="300" w:type="dxa"/>
              <w:bottom w:w="300" w:type="dxa"/>
              <w:start w:w="300" w:type="dxa"/>
              <w:end w:w="300" w:type="dxa"/>
            </w:tcMar>
          </w:tcPr>
          <w:p>
            <w:pPr>
              <w:spacing w:lineRule="auto" w:line="304" w:before="450" w:after="450"/>
              <w:ind w:left="300" w:right="300"/>
              <w:shd w:val="clear" w:color="auto" w:fill="E8F4F8"/>
            </w:pPr>
            <w:r>
              <w:rPr>
                <w:rFonts w:ascii="Arial" w:hAnsi="Arial" w:eastAsia="Arial" w:cs="Arial"/>
                <w:b/>
                <w:color w:val="333333"/>
                <w:shd w:val="clear" w:color="auto" w:fill="E8F4F8"/>
              </w:rPr>
              <w:t>Resum Executiu:</w:t>
            </w:r>
            <w:r>
              <w:rPr>
                <w:rFonts w:ascii="Arial" w:hAnsi="Arial" w:eastAsia="Arial" w:cs="Arial"/>
                <w:color w:val="333333"/>
                <w:shd w:val="clear" w:color="auto" w:fill="E8F4F8"/>
              </w:rPr>
              <w:t xml:space="preserve"> Aquest informe constitueix l'anàlisi sistèmica més completa realitzada sobre l'ecosistema del bàsquet femení, articulat des de la perspectiva de la sociologia de l'esport, la gestió estratègica i l'anàlisi de dades federatives. S'examinen les fallades estructurals que generen una bretxa de gènere profunda, des del context global fins a la realitat local de Barcelona, proposant un pla d'acció concret per a la transformació de l'esport base i d'elit.</w:t>
            </w:r>
          </w:p>
        </w:tc>
      </w:tr>
    </w:tbl>
    <w:p>
      <w:bookmarkStart w:id="1" w:name="section-1"/>
      <w:pPr>
        <w:pStyle w:val="Heading2"/>
        <w:pBdr>
          <w:bottom w:val="single" w:sz="12" w:space="0" w:color="ECF0F1"/>
        </w:pBdr>
        <w:spacing w:lineRule="auto" w:line="304" w:after="120" w:before="750"/>
      </w:pPr>
      <w:r>
        <w:rPr>
          <w:rFonts w:ascii="Arial" w:hAnsi="Arial" w:eastAsia="Arial" w:cs="Arial"/>
          <w:color w:val="2C3E50"/>
          <w:sz w:val="43"/>
        </w:rPr>
        <w:t>1. Context Global: La Bretxa de Gènere en el Bàsquet Mundial</w:t>
      </w:r>
      <w:bookmarkEnd w:id="1" w:name="section-1"/>
    </w:p>
    <w:p>
      <w:bookmarkStart w:id="2" w:name="section-1-1"/>
      <w:pPr>
        <w:pStyle w:val="Heading3"/>
        <w:spacing w:lineRule="auto" w:line="304" w:before="450"/>
      </w:pPr>
      <w:r>
        <w:rPr>
          <w:rFonts w:ascii="Arial" w:hAnsi="Arial" w:eastAsia="Arial" w:cs="Arial"/>
          <w:color w:val="34495E"/>
          <w:sz w:val="33"/>
        </w:rPr>
        <w:t>1.1. NBA vs. WNBA: Disparitat i Creixement</w:t>
      </w:r>
      <w:bookmarkEnd w:id="2" w:name="section-1-1"/>
    </w:p>
    <w:p>
      <w:pPr>
        <w:spacing w:lineRule="auto" w:line="304" w:after="225"/>
        <w:jc w:val="both"/>
      </w:pPr>
      <w:r>
        <w:rPr>
          <w:rFonts w:ascii="Arial" w:hAnsi="Arial" w:eastAsia="Arial" w:cs="Arial"/>
          <w:color w:val="333333"/>
        </w:rPr>
        <w:t>El bàsquet als Estats Units reflecteix una disparitat estructural profunda, però alhora mostra el potencial de creixement quan s'inverteix en l'esport femení. La bretxa salarial entre la NBA i la WNBA és de 80:1, una de les més grans en l'esport professional. No obstant això, l'arribada de nous referents (l'efecte Caitlin Clark) i la inversió en visibilitat han generat un creixement explosiu a la WNBA.</w:t>
      </w:r>
    </w:p>
    <w:tbl>
      <w:tblPr>
        <w:tblW w:type="auto" w:w="0"/>
        <w:jc w:val="center"/>
        <w:tblLook w:firstColumn="1" w:firstRow="1" w:lastColumn="0" w:lastRow="0" w:noHBand="0" w:noVBand="1" w:val="04A0"/>
        <w:tblBorders>
          <w:insideH w:val="single" w:sz="4" w:color="DDDDDD"/>
          <w:insideV w:val="single" w:sz="4" w:color="DDDDDD"/>
        </w:tblBorders>
      </w:tblPr>
      <w:tblGrid>
        <w:gridCol w:w="2700"/>
        <w:gridCol w:w="2700"/>
        <w:gridCol w:w="2700"/>
        <w:gridCol w:w="2700"/>
      </w:tblGrid>
      <w:tr>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Indicador</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NBA</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WNBA</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Ràtio</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Salari mitjà anual</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11.900.000 $</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147.745 $</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80:1</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Salari màxim estrella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59.600.000 $</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241.984 $</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246:1</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Salari rookie (1r any)</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~1.000.000 $</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76.535 $</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13:1</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 ingressos destinats a jugadors</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~50%</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~9,3%</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5,4:1</w:t>
            </w:r>
          </w:p>
        </w:tc>
      </w:tr>
    </w:tbl>
    <w:tbl>
      <w:tblPr>
        <w:tblW w:type="auto" w:w="0"/>
        <w:jc w:val="center"/>
        <w:tblLook w:firstColumn="1" w:firstRow="1" w:lastColumn="0" w:lastRow="0" w:noHBand="0" w:noVBand="1" w:val="04A0"/>
        <w:tblBorders>
          <w:insideH w:val="single" w:sz="4" w:color="DDDDDD"/>
          <w:insideV w:val="single" w:sz="4" w:color="DDDDDD"/>
        </w:tblBorders>
      </w:tblPr>
      <w:tblGrid>
        <w:gridCol w:w="2700"/>
        <w:gridCol w:w="2700"/>
        <w:gridCol w:w="2700"/>
        <w:gridCol w:w="2700"/>
      </w:tblGrid>
      <w:tr>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Indicador</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NBA</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WNBA</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Tendència WNBA</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Valor col·lectiu lliga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132.800 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3.500 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+183% (2025)</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Contracte TV (anual)</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~7.000 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200 M$ (des de 2026)</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+300%</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Assistència per partit</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18.322</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9.807</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+48% vs 2023</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Audiència TV posttemporada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~5 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1,1 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+139% vs 2023</w:t>
            </w:r>
          </w:p>
        </w:tc>
      </w:tr>
    </w:tbl>
    <w:p>
      <w:bookmarkStart w:id="3" w:name="section-1-2"/>
      <w:pPr>
        <w:pStyle w:val="Heading3"/>
        <w:spacing w:lineRule="auto" w:line="304" w:before="450"/>
      </w:pPr>
      <w:r>
        <w:rPr>
          <w:rFonts w:ascii="Arial" w:hAnsi="Arial" w:eastAsia="Arial" w:cs="Arial"/>
          <w:color w:val="34495E"/>
          <w:sz w:val="33"/>
        </w:rPr>
        <w:t>1.2. El Bàsquet Femení a Europa</w:t>
      </w:r>
      <w:bookmarkEnd w:id="3" w:name="section-1-2"/>
    </w:p>
    <w:p>
      <w:pPr>
        <w:spacing w:lineRule="auto" w:line="304" w:after="225"/>
        <w:jc w:val="both"/>
      </w:pPr>
      <w:r>
        <w:rPr>
          <w:rFonts w:ascii="Arial" w:hAnsi="Arial" w:eastAsia="Arial" w:cs="Arial"/>
          <w:color w:val="333333"/>
        </w:rPr>
        <w:t>A l'Euroleague Women, els països amb millors resultats combinen inversió privada, suport institucional estable i tradició comunitària. Models com el francès (Bourges, Basket Landes) demostren que ciutats de menys de 70.000 habitants poden mantenir equips d'elit europea gràcies a un suport municipal decidit, desmentint que la dimensió demogràfica sigui el factor limitant.</w:t>
      </w:r>
    </w:p>
    <w:tbl>
      <w:tblPr>
        <w:tblW w:type="auto" w:w="0"/>
        <w:jc w:val="center"/>
        <w:tblLook w:firstColumn="1" w:firstRow="1" w:lastColumn="0" w:lastRow="0" w:noHBand="0" w:noVBand="1" w:val="04A0"/>
        <w:tblBorders>
          <w:insideH w:val="single" w:sz="4" w:color="DDDDDD"/>
          <w:insideV w:val="single" w:sz="4" w:color="DDDDDD"/>
        </w:tblBorders>
      </w:tblPr>
      <w:tblGrid>
        <w:gridCol w:w="2700"/>
        <w:gridCol w:w="2700"/>
        <w:gridCol w:w="2700"/>
        <w:gridCol w:w="2700"/>
      </w:tblGrid>
      <w:tr>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País</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Clubs Euroleague Women</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Model Dominant</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Inversió Estimada</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Turquia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Fenerbahçe, Galatasaray</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Corporatiu (grans grups)</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Alta (5-10M€)</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Itàlia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Famila Schio, Reyer Venezia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Patrocini empresarial</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Mitjana-Alta (2-5M€)</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França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Basket Landes, Bourges</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Municipal + patrocini</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Mitjana (1-3M€)</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Espanya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Perf. Avenida, Spar Girona</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Mixt (mun. + patrocini)</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Mitjana (1-3M€)</w:t>
            </w:r>
          </w:p>
        </w:tc>
      </w:tr>
    </w:tbl>
    <w:p>
      <w:bookmarkStart w:id="4" w:name="section-2"/>
      <w:pPr>
        <w:pStyle w:val="Heading2"/>
        <w:pBdr>
          <w:bottom w:val="single" w:sz="12" w:space="0" w:color="ECF0F1"/>
        </w:pBdr>
        <w:spacing w:lineRule="auto" w:line="304" w:after="120" w:before="750"/>
      </w:pPr>
      <w:r>
        <w:rPr>
          <w:rFonts w:ascii="Arial" w:hAnsi="Arial" w:eastAsia="Arial" w:cs="Arial"/>
          <w:color w:val="2C3E50"/>
          <w:sz w:val="43"/>
        </w:rPr>
        <w:t>2. Context Espanyol: Llicències, Piràmides i Governança</w:t>
      </w:r>
      <w:bookmarkEnd w:id="4" w:name="section-2"/>
    </w:p>
    <w:p>
      <w:bookmarkStart w:id="5" w:name="section-2-1"/>
      <w:pPr>
        <w:pStyle w:val="Heading3"/>
        <w:spacing w:lineRule="auto" w:line="304" w:before="450"/>
      </w:pPr>
      <w:r>
        <w:rPr>
          <w:rFonts w:ascii="Arial" w:hAnsi="Arial" w:eastAsia="Arial" w:cs="Arial"/>
          <w:color w:val="34495E"/>
          <w:sz w:val="33"/>
        </w:rPr>
        <w:t>2.1. Llicències i Participació</w:t>
      </w:r>
      <w:bookmarkEnd w:id="5" w:name="section-2-1"/>
    </w:p>
    <w:p>
      <w:pPr>
        <w:spacing w:lineRule="auto" w:line="304" w:after="225"/>
        <w:jc w:val="both"/>
      </w:pPr>
      <w:r>
        <w:rPr>
          <w:rFonts w:ascii="Arial" w:hAnsi="Arial" w:eastAsia="Arial" w:cs="Arial"/>
          <w:color w:val="333333"/>
        </w:rPr>
        <w:t>El bàsquet espanyol va assolir un màxim històric el 2024 amb 440.427 llicències. El creixement està sent impulsat majoritàriament pel sector femení, que representa el 35,7% del total i va aportar el 67% del creixement net entre 2023 i 2024.</w:t>
      </w:r>
    </w:p>
    <w:tbl>
      <w:tblPr>
        <w:tblW w:type="auto" w:w="0"/>
        <w:jc w:val="center"/>
        <w:tblLook w:firstColumn="1" w:firstRow="1" w:lastColumn="0" w:lastRow="0" w:noHBand="0" w:noVBand="1" w:val="04A0"/>
        <w:tblBorders>
          <w:insideH w:val="single" w:sz="4" w:color="DDDDDD"/>
          <w:insideV w:val="single" w:sz="4" w:color="DDDDDD"/>
        </w:tblBorders>
      </w:tblPr>
      <w:tblGrid>
        <w:gridCol w:w="2160"/>
        <w:gridCol w:w="2160"/>
        <w:gridCol w:w="2160"/>
        <w:gridCol w:w="2160"/>
        <w:gridCol w:w="2160"/>
      </w:tblGrid>
      <w:tr>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Indicador</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Homes</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Dones</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Total</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 Femení</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Llicències 2024</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282.995</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157.432</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440.427</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35,7%</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Creixement 23→24</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+9.377</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+19.165</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+28.542</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67% del creixement</w:t>
            </w:r>
          </w:p>
        </w:tc>
      </w:tr>
    </w:tbl>
    <w:p>
      <w:bookmarkStart w:id="6" w:name="section-2-2"/>
      <w:pPr>
        <w:pStyle w:val="Heading3"/>
        <w:spacing w:lineRule="auto" w:line="304" w:before="450"/>
      </w:pPr>
      <w:r>
        <w:rPr>
          <w:rFonts w:ascii="Arial" w:hAnsi="Arial" w:eastAsia="Arial" w:cs="Arial"/>
          <w:color w:val="34495E"/>
          <w:sz w:val="33"/>
        </w:rPr>
        <w:t>2.2. L'Embut de les Entrenadores i la Governança</w:t>
      </w:r>
      <w:bookmarkEnd w:id="6" w:name="section-2-2"/>
    </w:p>
    <w:p>
      <w:pPr>
        <w:spacing w:lineRule="auto" w:line="304" w:after="225"/>
        <w:jc w:val="both"/>
      </w:pPr>
      <w:r>
        <w:rPr>
          <w:rFonts w:ascii="Arial" w:hAnsi="Arial" w:eastAsia="Arial" w:cs="Arial"/>
          <w:color w:val="333333"/>
        </w:rPr>
        <w:t>Malgrat la forta base de jugadores, existeix una dràstica caiguda en la representació femenina en els rols de lideratge tècnic i directiu. Aquest "embut" expulsa progressivament les dones dels rols de decisió. A nivell de governança, només el 5% de les presidències de federacions esportives espanyoles són ocupades per dones.</w:t>
      </w:r>
    </w:p>
    <w:tbl>
      <w:tblPr>
        <w:tblW w:type="auto" w:w="0"/>
        <w:jc w:val="center"/>
        <w:tblLook w:firstColumn="1" w:firstRow="1" w:lastColumn="0" w:lastRow="0" w:noHBand="0" w:noVBand="1" w:val="04A0"/>
        <w:tblBorders>
          <w:insideH w:val="single" w:sz="4" w:color="DDDDDD"/>
          <w:insideV w:val="single" w:sz="4" w:color="DDDDDD"/>
        </w:tblBorders>
      </w:tblPr>
      <w:tblGrid>
        <w:gridCol w:w="3600"/>
        <w:gridCol w:w="3600"/>
        <w:gridCol w:w="3600"/>
      </w:tblGrid>
      <w:tr>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Nivell</w:t>
            </w:r>
          </w:p>
        </w:tc>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 Dones</w:t>
            </w:r>
          </w:p>
        </w:tc>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Pèrdua vs. jugadores</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Jugadores (llicències)</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35,7%</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Referència</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En formació (nivells 0-3)</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24,1%</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-11,6 pp (-32,5%)</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Nivell 0 (Iniciació)</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~30%</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-5,7 pp</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Nivell 1-2 (Intermedi)</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~18%</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-17,7 pp</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Curs Superior</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9%</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-26,7 pp (-74,8%)</w:t>
            </w:r>
          </w:p>
        </w:tc>
      </w:tr>
    </w:tbl>
    <w:p>
      <w:bookmarkStart w:id="7" w:name="section-3"/>
      <w:pPr>
        <w:pStyle w:val="Heading2"/>
        <w:pBdr>
          <w:bottom w:val="single" w:sz="12" w:space="0" w:color="ECF0F1"/>
        </w:pBdr>
        <w:spacing w:lineRule="auto" w:line="304" w:after="120" w:before="750"/>
      </w:pPr>
      <w:r>
        <w:rPr>
          <w:rFonts w:ascii="Arial" w:hAnsi="Arial" w:eastAsia="Arial" w:cs="Arial"/>
          <w:color w:val="2C3E50"/>
          <w:sz w:val="43"/>
        </w:rPr>
        <w:t>3. Context Català: Hegemonia i Descentralització</w:t>
      </w:r>
      <w:bookmarkEnd w:id="7" w:name="section-3"/>
    </w:p>
    <w:p>
      <w:pPr>
        <w:spacing w:lineRule="auto" w:line="304" w:after="225"/>
        <w:jc w:val="both"/>
      </w:pPr>
      <w:r>
        <w:rPr>
          <w:rFonts w:ascii="Arial" w:hAnsi="Arial" w:eastAsia="Arial" w:cs="Arial"/>
          <w:color w:val="333333"/>
        </w:rPr>
        <w:t>Catalunya és la potència formativa d'Espanya amb 87.198 llicències (36,2% femenines). En l'àmbit masculí, domina l'elit amb 6 dels 18 equips de la Lliga ACB (33,3%). En l'àmbit femení, manté una presència notable a la LF Endesa amb 3 equips (Spar Girona, Cadí La Seu, Joventut Badalona), però cap d'ells té seu a Barcelona ciutat. El talent femení d'elit a Catalunya està profundament descentralitzat.</w:t>
      </w:r>
    </w:p>
    <w:p>
      <w:bookmarkStart w:id="8" w:name="section-4"/>
      <w:pPr>
        <w:pStyle w:val="Heading2"/>
        <w:pBdr>
          <w:bottom w:val="single" w:sz="12" w:space="0" w:color="ECF0F1"/>
        </w:pBdr>
        <w:spacing w:lineRule="auto" w:line="304" w:after="120" w:before="750"/>
      </w:pPr>
      <w:r>
        <w:rPr>
          <w:rFonts w:ascii="Arial" w:hAnsi="Arial" w:eastAsia="Arial" w:cs="Arial"/>
          <w:color w:val="2C3E50"/>
          <w:sz w:val="43"/>
        </w:rPr>
        <w:t>4. L'Anomalia de Barcelona: El Buit Competitiu</w:t>
      </w:r>
      <w:bookmarkEnd w:id="8" w:name="section-4"/>
    </w:p>
    <w:p>
      <w:bookmarkStart w:id="9" w:name="section-4-1"/>
      <w:pPr>
        <w:pStyle w:val="Heading3"/>
        <w:spacing w:lineRule="auto" w:line="304" w:before="450"/>
      </w:pPr>
      <w:r>
        <w:rPr>
          <w:rFonts w:ascii="Arial" w:hAnsi="Arial" w:eastAsia="Arial" w:cs="Arial"/>
          <w:color w:val="34495E"/>
          <w:sz w:val="33"/>
        </w:rPr>
        <w:t>4.1. Diagnòstic de la Situació</w:t>
      </w:r>
      <w:bookmarkEnd w:id="9" w:name="section-4-1"/>
    </w:p>
    <w:p>
      <w:pPr>
        <w:spacing w:lineRule="auto" w:line="304" w:after="225"/>
        <w:jc w:val="both"/>
      </w:pPr>
      <w:r>
        <w:rPr>
          <w:rFonts w:ascii="Arial" w:hAnsi="Arial" w:eastAsia="Arial" w:cs="Arial"/>
          <w:color w:val="333333"/>
        </w:rPr>
        <w:t>Barcelona ciutat (1,6 milions d'habitants) presenta una anomalia estructural sense precedents: malgrat comptar amb 362 equips formatius verificats (134 de femenins), té una representació a les lligues estatals femenines dràsticament inferior a la de municipis molt més petits. La taxa de conversió del talent femení de base a elit és només del 0,75%.</w:t>
      </w:r>
    </w:p>
    <w:tbl>
      <w:tblPr>
        <w:tblW w:type="auto" w:w="0"/>
        <w:jc w:val="center"/>
        <w:tblLook w:firstColumn="1" w:firstRow="1" w:lastColumn="0" w:lastRow="0" w:noHBand="0" w:noVBand="1" w:val="04A0"/>
        <w:tblBorders>
          <w:insideH w:val="single" w:sz="4" w:color="DDDDDD"/>
          <w:insideV w:val="single" w:sz="4" w:color="DDDDDD"/>
        </w:tblBorders>
      </w:tblPr>
      <w:tblGrid>
        <w:gridCol w:w="2160"/>
        <w:gridCol w:w="2160"/>
        <w:gridCol w:w="2160"/>
        <w:gridCol w:w="2160"/>
        <w:gridCol w:w="2160"/>
      </w:tblGrid>
      <w:tr>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Indicador</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Barcelona</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Girona</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La Seu</w:t>
            </w:r>
          </w:p>
        </w:tc>
        <w:tc>
          <w:tcPr>
            <w:tcW w:type="dxa" w:w="216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Mataró</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Població (aprox.)</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1.600.000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103.000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12.000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130.000</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Equips base femenins</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134</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~8</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~25</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Equips en LF Endesa</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Equips en LF2</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1-2</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w:t>
            </w:r>
          </w:p>
        </w:tc>
      </w:tr>
      <w:tr>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Taxa conversió base-elit</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0,75%</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~6,7%</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~12,5%</w:t>
            </w:r>
          </w:p>
        </w:tc>
        <w:tc>
          <w:tcPr>
            <w:tcW w:type="dxa" w:w="216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~4%</w:t>
            </w:r>
          </w:p>
        </w:tc>
      </w:tr>
    </w:tbl>
    <w:p>
      <w:bookmarkStart w:id="10" w:name="section-4-2"/>
      <w:pPr>
        <w:pStyle w:val="Heading3"/>
        <w:spacing w:lineRule="auto" w:line="304" w:before="450"/>
      </w:pPr>
      <w:r>
        <w:rPr>
          <w:rFonts w:ascii="Arial" w:hAnsi="Arial" w:eastAsia="Arial" w:cs="Arial"/>
          <w:color w:val="34495E"/>
          <w:sz w:val="33"/>
        </w:rPr>
        <w:t>4.2. Causes Estructurals del Dèficit</w:t>
      </w:r>
      <w:bookmarkEnd w:id="10" w:name="section-4-2"/>
    </w:p>
    <w:p>
      <w:pPr>
        <w:pStyle w:val="ListBullet"/>
        <w:spacing w:lineRule="auto" w:line="304" w:after="120"/>
        <w:ind w:left="360"/>
      </w:pPr>
      <w:r>
        <w:rPr>
          <w:rFonts w:ascii="Arial" w:hAnsi="Arial" w:eastAsia="Arial" w:cs="Arial"/>
          <w:b/>
          <w:color w:val="333333"/>
        </w:rPr>
        <w:t>Saturació d'infraestructures:</w:t>
      </w:r>
      <w:r>
        <w:rPr>
          <w:rFonts w:ascii="Arial" w:hAnsi="Arial" w:eastAsia="Arial" w:cs="Arial"/>
          <w:color w:val="333333"/>
        </w:rPr>
        <w:t xml:space="preserve"> Els pavellons municipals estan saturats. Els equips femenins sènior sovint són relegats a franges horàries tardanes (21:30h), dificultant la conciliació. Els costos de lloguer poden arribar als 110.000€ anuals per club.</w:t>
      </w:r>
    </w:p>
    <w:p>
      <w:pPr>
        <w:pStyle w:val="ListBullet"/>
        <w:spacing w:lineRule="auto" w:line="304" w:after="120"/>
        <w:ind w:left="360"/>
      </w:pPr>
      <w:r>
        <w:rPr>
          <w:rFonts w:ascii="Arial" w:hAnsi="Arial" w:eastAsia="Arial" w:cs="Arial"/>
          <w:b/>
          <w:color w:val="333333"/>
        </w:rPr>
        <w:t>Model de finançament:</w:t>
      </w:r>
      <w:r>
        <w:rPr>
          <w:rFonts w:ascii="Arial" w:hAnsi="Arial" w:eastAsia="Arial" w:cs="Arial"/>
          <w:color w:val="333333"/>
        </w:rPr>
        <w:t xml:space="preserve"> Les polítiques públiques prioritzen el volum d'equips per sobre del rendiment competitiu, sense incentius per assumir els costos (80.000-120.000€) del salt a categories estatals com la LF2.</w:t>
      </w:r>
    </w:p>
    <w:p>
      <w:pPr>
        <w:pStyle w:val="ListBullet"/>
        <w:spacing w:lineRule="auto" w:line="304" w:after="120"/>
        <w:ind w:left="360"/>
      </w:pPr>
      <w:r>
        <w:rPr>
          <w:rFonts w:ascii="Arial" w:hAnsi="Arial" w:eastAsia="Arial" w:cs="Arial"/>
          <w:b/>
          <w:color w:val="333333"/>
        </w:rPr>
        <w:t>Governança masculinitzada:</w:t>
      </w:r>
      <w:r>
        <w:rPr>
          <w:rFonts w:ascii="Arial" w:hAnsi="Arial" w:eastAsia="Arial" w:cs="Arial"/>
          <w:color w:val="333333"/>
        </w:rPr>
        <w:t xml:space="preserve"> En una mostra de 17 clubs barcelonins, el 100% dels presidents són homes. Aquesta inèrcia perpetua una inversió on el 60-70% del pressupost es destina a seccions masculines, malgrat que les femenines sovint assoleixen categories superiors.</w:t>
      </w:r>
    </w:p>
    <w:p>
      <w:pPr>
        <w:pStyle w:val="ListBullet"/>
        <w:spacing w:lineRule="auto" w:line="304" w:after="120"/>
        <w:ind w:left="360"/>
      </w:pPr>
      <w:r>
        <w:rPr>
          <w:rFonts w:ascii="Arial" w:hAnsi="Arial" w:eastAsia="Arial" w:cs="Arial"/>
          <w:b/>
          <w:color w:val="333333"/>
        </w:rPr>
        <w:t>Col·lapse de models dependents:</w:t>
      </w:r>
      <w:r>
        <w:rPr>
          <w:rFonts w:ascii="Arial" w:hAnsi="Arial" w:eastAsia="Arial" w:cs="Arial"/>
          <w:color w:val="333333"/>
        </w:rPr>
        <w:t xml:space="preserve"> Projectes basats en convenis amb macroentitats (com el cas del Barça CBS / CB Santfeliuenc) generen un creixement artificial que col·lapsa quan l'entitat matriu es retira.</w:t>
      </w:r>
    </w:p>
    <w:p>
      <w:pPr>
        <w:pStyle w:val="ListBullet"/>
        <w:spacing w:lineRule="auto" w:line="304" w:after="120"/>
        <w:ind w:left="360"/>
      </w:pPr>
      <w:r>
        <w:rPr>
          <w:rFonts w:ascii="Arial" w:hAnsi="Arial" w:eastAsia="Arial" w:cs="Arial"/>
          <w:b/>
          <w:color w:val="333333"/>
        </w:rPr>
        <w:t>Fuga de talent:</w:t>
      </w:r>
      <w:r>
        <w:rPr>
          <w:rFonts w:ascii="Arial" w:hAnsi="Arial" w:eastAsia="Arial" w:cs="Arial"/>
          <w:color w:val="333333"/>
        </w:rPr>
        <w:t xml:space="preserve"> L'absència d'equips a la LF2 (la "fàbrica de talent") a Barcelona ciutat obliga les jugadores amb projecció a emigrar a clubs de l'àrea metropolitana (Cornellà, Mataró).</w:t>
      </w:r>
    </w:p>
    <w:p>
      <w:bookmarkStart w:id="11" w:name="section-4-3"/>
      <w:pPr>
        <w:pStyle w:val="Heading3"/>
        <w:spacing w:lineRule="auto" w:line="304" w:before="450"/>
      </w:pPr>
      <w:r>
        <w:rPr>
          <w:rFonts w:ascii="Arial" w:hAnsi="Arial" w:eastAsia="Arial" w:cs="Arial"/>
          <w:color w:val="34495E"/>
          <w:sz w:val="33"/>
        </w:rPr>
        <w:t>4.3. Comparativa amb Madrid i València</w:t>
      </w:r>
      <w:bookmarkEnd w:id="11" w:name="section-4-3"/>
    </w:p>
    <w:p>
      <w:pPr>
        <w:spacing w:lineRule="auto" w:line="304" w:after="225"/>
        <w:jc w:val="both"/>
      </w:pPr>
      <w:r>
        <w:rPr>
          <w:rFonts w:ascii="Arial" w:hAnsi="Arial" w:eastAsia="Arial" w:cs="Arial"/>
          <w:color w:val="333333"/>
        </w:rPr>
        <w:t>Madrid opera amb un model de profunditat: 3.012 equips federats i 21 equips en lligues FEB (enfront dels ~11 de Barcelona). Aquesta profunditat permet múltiples escales competitives. València, per la seva banda, utilitza un model d'integració vertical (Valencia Basket) recolzat per infraestructures de primer nivell (L'Alqueria). El factor diferencial en ambdós casos és el suport institucional i municipal estratègic.</w:t>
      </w:r>
    </w:p>
    <w:tbl>
      <w:tblPr>
        <w:tblW w:type="auto" w:w="0"/>
        <w:jc w:val="center"/>
        <w:tblLook w:firstColumn="1" w:firstRow="1" w:lastColumn="0" w:lastRow="0" w:noHBand="0" w:noVBand="1" w:val="04A0"/>
        <w:tblBorders>
          <w:insideH w:val="single" w:sz="4" w:color="DDDDDD"/>
          <w:insideV w:val="single" w:sz="4" w:color="DDDDDD"/>
        </w:tblBorders>
      </w:tblPr>
      <w:tblGrid>
        <w:gridCol w:w="3600"/>
        <w:gridCol w:w="3600"/>
        <w:gridCol w:w="3600"/>
      </w:tblGrid>
      <w:tr>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Categoria</w:t>
            </w:r>
          </w:p>
        </w:tc>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Equips Madrid</w:t>
            </w:r>
          </w:p>
        </w:tc>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Equips Barcelona (Ciutat)</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ACB / LF Endesa</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 (Masc) / 1 (Fem)</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 (Masc) / 0 (Fem)</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Primera FEB</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LF Challenge</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 (fràgil)</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LF2</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b/>
                <w:color w:val="333333"/>
                <w:sz w:val="22"/>
              </w:rPr>
              <w:t>TOTAL lligues FEB</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b/>
                <w:color w:val="333333"/>
                <w:sz w:val="22"/>
              </w:rPr>
              <w:t>21</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b/>
                <w:color w:val="333333"/>
                <w:sz w:val="22"/>
              </w:rPr>
              <w:t>~11</w:t>
            </w:r>
          </w:p>
        </w:tc>
      </w:tr>
    </w:tbl>
    <w:p>
      <w:bookmarkStart w:id="12" w:name="section-5"/>
      <w:pPr>
        <w:pStyle w:val="Heading2"/>
        <w:pBdr>
          <w:bottom w:val="single" w:sz="12" w:space="0" w:color="ECF0F1"/>
        </w:pBdr>
        <w:spacing w:lineRule="auto" w:line="304" w:after="120" w:before="750"/>
      </w:pPr>
      <w:r>
        <w:rPr>
          <w:rFonts w:ascii="Arial" w:hAnsi="Arial" w:eastAsia="Arial" w:cs="Arial"/>
          <w:color w:val="2C3E50"/>
          <w:sz w:val="43"/>
        </w:rPr>
        <w:t>5. L'Abandonament Femení i els seus Factors</w:t>
      </w:r>
      <w:bookmarkEnd w:id="12" w:name="section-5"/>
    </w:p>
    <w:p>
      <w:pPr>
        <w:spacing w:lineRule="auto" w:line="304" w:after="225"/>
        <w:jc w:val="both"/>
      </w:pPr>
      <w:r>
        <w:rPr>
          <w:rFonts w:ascii="Arial" w:hAnsi="Arial" w:eastAsia="Arial" w:cs="Arial"/>
          <w:color w:val="333333"/>
        </w:rPr>
        <w:t>La pubertat (13-16 anys) marca un punt d'inflexió crític. Segons dades estatals, només el 8,0% de les noies de 15-16 anys compleix les recomanacions d'activitat física, enfront del 23,2% dels nois. Aquest abandonament respon a un disseny sistèmic d'expulsió:</w:t>
      </w:r>
    </w:p>
    <w:p>
      <w:pPr>
        <w:pStyle w:val="ListBullet"/>
        <w:spacing w:lineRule="auto" w:line="304" w:after="120"/>
        <w:ind w:left="360"/>
      </w:pPr>
      <w:r>
        <w:rPr>
          <w:rFonts w:ascii="Arial" w:hAnsi="Arial" w:eastAsia="Arial" w:cs="Arial"/>
          <w:b/>
          <w:color w:val="333333"/>
        </w:rPr>
        <w:t>L'esglaó absent:</w:t>
      </w:r>
      <w:r>
        <w:rPr>
          <w:rFonts w:ascii="Arial" w:hAnsi="Arial" w:eastAsia="Arial" w:cs="Arial"/>
          <w:color w:val="333333"/>
        </w:rPr>
        <w:t xml:space="preserve"> Manca d'equips júnior/sènior femenins als clubs formadors.</w:t>
      </w:r>
    </w:p>
    <w:p>
      <w:pPr>
        <w:pStyle w:val="ListBullet"/>
        <w:spacing w:lineRule="auto" w:line="304" w:after="120"/>
        <w:ind w:left="360"/>
      </w:pPr>
      <w:r>
        <w:rPr>
          <w:rFonts w:ascii="Arial" w:hAnsi="Arial" w:eastAsia="Arial" w:cs="Arial"/>
          <w:b/>
          <w:color w:val="333333"/>
        </w:rPr>
        <w:t>L'horari hostil:</w:t>
      </w:r>
      <w:r>
        <w:rPr>
          <w:rFonts w:ascii="Arial" w:hAnsi="Arial" w:eastAsia="Arial" w:cs="Arial"/>
          <w:color w:val="333333"/>
        </w:rPr>
        <w:t xml:space="preserve"> Assignació de les pitjors franges horàries d'entrenament.</w:t>
      </w:r>
    </w:p>
    <w:p>
      <w:pPr>
        <w:pStyle w:val="ListBullet"/>
        <w:spacing w:lineRule="auto" w:line="304" w:after="120"/>
        <w:ind w:left="360"/>
      </w:pPr>
      <w:r>
        <w:rPr>
          <w:rFonts w:ascii="Arial" w:hAnsi="Arial" w:eastAsia="Arial" w:cs="Arial"/>
          <w:b/>
          <w:color w:val="333333"/>
        </w:rPr>
        <w:t>El banquet buit:</w:t>
      </w:r>
      <w:r>
        <w:rPr>
          <w:rFonts w:ascii="Arial" w:hAnsi="Arial" w:eastAsia="Arial" w:cs="Arial"/>
          <w:color w:val="333333"/>
        </w:rPr>
        <w:t xml:space="preserve"> Absència d'entrenadores femenines com a referents.</w:t>
      </w:r>
    </w:p>
    <w:p>
      <w:pPr>
        <w:pStyle w:val="ListBullet"/>
        <w:spacing w:lineRule="auto" w:line="304" w:after="120"/>
        <w:ind w:left="360"/>
      </w:pPr>
      <w:r>
        <w:rPr>
          <w:rFonts w:ascii="Arial" w:hAnsi="Arial" w:eastAsia="Arial" w:cs="Arial"/>
          <w:b/>
          <w:color w:val="333333"/>
        </w:rPr>
        <w:t>Pressió acadèmica i social:</w:t>
      </w:r>
      <w:r>
        <w:rPr>
          <w:rFonts w:ascii="Arial" w:hAnsi="Arial" w:eastAsia="Arial" w:cs="Arial"/>
          <w:color w:val="333333"/>
        </w:rPr>
        <w:t xml:space="preserve"> Falsa creença que l'esport perjudica els estudis, quan l'evidència neurobiològica demostra que l'exercici estimula la dopamina, la serotonina i el BDNF, millorant la memòria i la concentració, i actuant com el millor antídot contra l'excés de pantalles.</w:t>
      </w:r>
    </w:p>
    <w:p>
      <w:bookmarkStart w:id="13" w:name="section-6"/>
      <w:pPr>
        <w:pStyle w:val="Heading2"/>
        <w:pBdr>
          <w:bottom w:val="single" w:sz="12" w:space="0" w:color="ECF0F1"/>
        </w:pBdr>
        <w:spacing w:lineRule="auto" w:line="304" w:after="120" w:before="750"/>
      </w:pPr>
      <w:r>
        <w:rPr>
          <w:rFonts w:ascii="Arial" w:hAnsi="Arial" w:eastAsia="Arial" w:cs="Arial"/>
          <w:color w:val="2C3E50"/>
          <w:sz w:val="43"/>
        </w:rPr>
        <w:t>6. El 8M en l'Esport: De la Simbòlica a l'Estructural</w:t>
      </w:r>
      <w:bookmarkEnd w:id="13" w:name="section-6"/>
    </w:p>
    <w:p>
      <w:pPr>
        <w:spacing w:lineRule="auto" w:line="304" w:after="225"/>
        <w:jc w:val="both"/>
      </w:pPr>
      <w:r>
        <w:rPr>
          <w:rFonts w:ascii="Arial" w:hAnsi="Arial" w:eastAsia="Arial" w:cs="Arial"/>
          <w:color w:val="333333"/>
        </w:rPr>
        <w:t>L'anàlisi de les campanyes del Dia Internacional de les Dones (8M) en el bàsquet revela que el 80% dels clubs es limiten a accions simbòliques (publicacions a xarxes, fons morats) sense polítiques estructurals associades. Aquesta "llicència moral" allibera les organitzacions de la pressió per actuar sobre la distribució real de pressupostos, horaris i lideratge durant la resta de l'any.</w:t>
      </w:r>
    </w:p>
    <w:p>
      <w:bookmarkStart w:id="14" w:name="section-7"/>
      <w:pPr>
        <w:pStyle w:val="Heading2"/>
        <w:pBdr>
          <w:bottom w:val="single" w:sz="12" w:space="0" w:color="ECF0F1"/>
        </w:pBdr>
        <w:spacing w:lineRule="auto" w:line="304" w:after="120" w:before="750"/>
      </w:pPr>
      <w:r>
        <w:rPr>
          <w:rFonts w:ascii="Arial" w:hAnsi="Arial" w:eastAsia="Arial" w:cs="Arial"/>
          <w:color w:val="2C3E50"/>
          <w:sz w:val="43"/>
        </w:rPr>
        <w:t>7. Pla Estratègic: Barcelona Capital del Bàsquet 2026-2030</w:t>
      </w:r>
      <w:bookmarkEnd w:id="14" w:name="section-7"/>
    </w:p>
    <w:p>
      <w:pPr>
        <w:spacing w:lineRule="auto" w:line="304" w:after="225"/>
        <w:jc w:val="both"/>
      </w:pPr>
      <w:r>
        <w:rPr>
          <w:rFonts w:ascii="Arial" w:hAnsi="Arial" w:eastAsia="Arial" w:cs="Arial"/>
          <w:color w:val="333333"/>
        </w:rPr>
        <w:t>Per revertir l'anomalia estructural, es proposa un pla d'inversió municipal d'entre 1,5 i 2,6 milions d'euros anuals, articulat en cinc eixos:</w:t>
      </w:r>
    </w:p>
    <w:p>
      <w:pPr>
        <w:spacing w:lineRule="auto" w:line="304" w:after="120"/>
        <w:ind w:left="360"/>
      </w:pPr>
      <w:r>
        <w:rPr>
          <w:b/>
        </w:rPr>
        <w:t xml:space="preserve">1. </w:t>
      </w:r>
      <w:r>
        <w:rPr>
          <w:rFonts w:ascii="Arial" w:hAnsi="Arial" w:eastAsia="Arial" w:cs="Arial"/>
          <w:b/>
          <w:color w:val="333333"/>
        </w:rPr>
        <w:t>Infraestructures Prioritàries:</w:t>
      </w:r>
      <w:r>
        <w:rPr>
          <w:rFonts w:ascii="Arial" w:hAnsi="Arial" w:eastAsia="Arial" w:cs="Arial"/>
          <w:color w:val="333333"/>
        </w:rPr>
        <w:t xml:space="preserve"> Protocol de franges prioritàries que reservi el 30% dels horaris de 18:00-21:00h en pavellons clau per a equips femenins sènior competitius.</w:t>
      </w:r>
    </w:p>
    <w:p>
      <w:pPr>
        <w:spacing w:lineRule="auto" w:line="304" w:after="120"/>
        <w:ind w:left="360"/>
      </w:pPr>
      <w:r>
        <w:rPr>
          <w:b/>
        </w:rPr>
        <w:t xml:space="preserve">2. </w:t>
      </w:r>
      <w:r>
        <w:rPr>
          <w:rFonts w:ascii="Arial" w:hAnsi="Arial" w:eastAsia="Arial" w:cs="Arial"/>
          <w:b/>
          <w:color w:val="333333"/>
        </w:rPr>
        <w:t>Finançament Orientat a la Competició:</w:t>
      </w:r>
      <w:r>
        <w:rPr>
          <w:rFonts w:ascii="Arial" w:hAnsi="Arial" w:eastAsia="Arial" w:cs="Arial"/>
          <w:color w:val="333333"/>
        </w:rPr>
        <w:t xml:space="preserve"> Fons Municipal Competitiu amb subvencions condicionades a objectius (ex. 80.000€ per equip a LF2) per facilitar el salt estatal.</w:t>
      </w:r>
    </w:p>
    <w:p>
      <w:pPr>
        <w:spacing w:lineRule="auto" w:line="304" w:after="120"/>
        <w:ind w:left="360"/>
      </w:pPr>
      <w:r>
        <w:rPr>
          <w:b/>
        </w:rPr>
        <w:t xml:space="preserve">3. </w:t>
      </w:r>
      <w:r>
        <w:rPr>
          <w:rFonts w:ascii="Arial" w:hAnsi="Arial" w:eastAsia="Arial" w:cs="Arial"/>
          <w:b/>
          <w:color w:val="333333"/>
        </w:rPr>
        <w:t>Tecnificació i Retenció:</w:t>
      </w:r>
      <w:r>
        <w:rPr>
          <w:rFonts w:ascii="Arial" w:hAnsi="Arial" w:eastAsia="Arial" w:cs="Arial"/>
          <w:color w:val="333333"/>
        </w:rPr>
        <w:t xml:space="preserve"> Escola Municipal de Tecnificació Femenina U14-U18 i beques socials.</w:t>
      </w:r>
    </w:p>
    <w:p>
      <w:pPr>
        <w:spacing w:lineRule="auto" w:line="304" w:after="120"/>
        <w:ind w:left="360"/>
      </w:pPr>
      <w:r>
        <w:rPr>
          <w:b/>
        </w:rPr>
        <w:t xml:space="preserve">4. </w:t>
      </w:r>
      <w:r>
        <w:rPr>
          <w:rFonts w:ascii="Arial" w:hAnsi="Arial" w:eastAsia="Arial" w:cs="Arial"/>
          <w:b/>
          <w:color w:val="333333"/>
        </w:rPr>
        <w:t>Visibilitat i Referents:</w:t>
      </w:r>
      <w:r>
        <w:rPr>
          <w:rFonts w:ascii="Arial" w:hAnsi="Arial" w:eastAsia="Arial" w:cs="Arial"/>
          <w:color w:val="333333"/>
        </w:rPr>
        <w:t xml:space="preserve"> Retransmissions regulars en streaming (mínim 4 mensuals) i impuls de circuits 3x3 a l'espai públic.</w:t>
      </w:r>
    </w:p>
    <w:p>
      <w:pPr>
        <w:spacing w:lineRule="auto" w:line="304" w:after="120"/>
        <w:ind w:left="360"/>
      </w:pPr>
      <w:r>
        <w:rPr>
          <w:b/>
        </w:rPr>
        <w:t xml:space="preserve">5. </w:t>
      </w:r>
      <w:r>
        <w:rPr>
          <w:rFonts w:ascii="Arial" w:hAnsi="Arial" w:eastAsia="Arial" w:cs="Arial"/>
          <w:b/>
          <w:color w:val="333333"/>
        </w:rPr>
        <w:t>Formació d'Entrenadores:</w:t>
      </w:r>
      <w:r>
        <w:rPr>
          <w:rFonts w:ascii="Arial" w:hAnsi="Arial" w:eastAsia="Arial" w:cs="Arial"/>
          <w:color w:val="333333"/>
        </w:rPr>
        <w:t xml:space="preserve"> Programa de beques per cobrir el 100% del cost de les titulacions oficials per a dones.</w:t>
      </w:r>
    </w:p>
    <w:tbl>
      <w:tblPr>
        <w:tblW w:type="auto" w:w="0"/>
        <w:jc w:val="center"/>
        <w:tblLook w:firstColumn="1" w:firstRow="1" w:lastColumn="0" w:lastRow="0" w:noHBand="0" w:noVBand="1" w:val="04A0"/>
        <w:tblBorders>
          <w:insideH w:val="single" w:sz="4" w:color="DDDDDD"/>
          <w:insideV w:val="single" w:sz="4" w:color="DDDDDD"/>
        </w:tblBorders>
      </w:tblPr>
      <w:tblGrid>
        <w:gridCol w:w="2700"/>
        <w:gridCol w:w="2700"/>
        <w:gridCol w:w="2700"/>
        <w:gridCol w:w="2700"/>
      </w:tblGrid>
      <w:tr>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Indicador</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Valor Actual (2026)</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Objectiu 2028</w:t>
            </w:r>
          </w:p>
        </w:tc>
        <w:tc>
          <w:tcPr>
            <w:tcW w:type="dxa" w:w="27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Objectiu 2030</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Equips BCN a LF2</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Taxa conversió base-elit fem.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0,75%</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1,5%</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Retransmissions partits fem./mes</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0-1</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4</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8</w:t>
            </w:r>
          </w:p>
        </w:tc>
      </w:tr>
      <w:tr>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Clubs amb pipeline complet fem.</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1-2</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5</w:t>
            </w:r>
          </w:p>
        </w:tc>
        <w:tc>
          <w:tcPr>
            <w:tcW w:type="dxa" w:w="27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8</w:t>
            </w:r>
          </w:p>
        </w:tc>
      </w:tr>
    </w:tbl>
    <w:p>
      <w:bookmarkStart w:id="15" w:name="section-8"/>
      <w:pPr>
        <w:pStyle w:val="Heading2"/>
        <w:pBdr>
          <w:bottom w:val="single" w:sz="12" w:space="0" w:color="ECF0F1"/>
        </w:pBdr>
        <w:spacing w:lineRule="auto" w:line="304" w:after="120" w:before="750"/>
      </w:pPr>
      <w:r>
        <w:rPr>
          <w:rFonts w:ascii="Arial" w:hAnsi="Arial" w:eastAsia="Arial" w:cs="Arial"/>
          <w:color w:val="2C3E50"/>
          <w:sz w:val="43"/>
        </w:rPr>
        <w:t>8. Conclusions i Línies de Recerca Futures</w:t>
      </w:r>
      <w:bookmarkEnd w:id="15" w:name="section-8"/>
    </w:p>
    <w:p>
      <w:pPr>
        <w:spacing w:lineRule="auto" w:line="304" w:after="225"/>
        <w:jc w:val="both"/>
      </w:pPr>
      <w:r>
        <w:rPr>
          <w:rFonts w:ascii="Arial" w:hAnsi="Arial" w:eastAsia="Arial" w:cs="Arial"/>
          <w:color w:val="333333"/>
        </w:rPr>
        <w:t>La bretxa de gènere en el bàsquet no és un dèficit de talent, sinó una fallada de disseny arquitectònic del sistema. Barcelona pateix una anomalia on la seva immensa base formativa s'evapora per la manca d'una categoria pont (LF2), infraestructures saturades i una governança que no inverteix equitativament. El suport institucional és la variable clau que diferencia els models d'èxit (Girona, Madrid) dels estancats.</w:t>
      </w:r>
    </w:p>
    <w:p>
      <w:pPr>
        <w:spacing w:lineRule="auto" w:line="304" w:after="225"/>
        <w:jc w:val="both"/>
      </w:pPr>
      <w:r>
        <w:rPr>
          <w:rFonts w:ascii="Arial" w:hAnsi="Arial" w:eastAsia="Arial" w:cs="Arial"/>
          <w:b/>
          <w:color w:val="333333"/>
        </w:rPr>
        <w:t>Línies de recerca futures:</w:t>
      </w:r>
      <w:r>
        <w:rPr>
          <w:rFonts w:ascii="Arial" w:hAnsi="Arial" w:eastAsia="Arial" w:cs="Arial"/>
          <w:color w:val="333333"/>
        </w:rPr>
        <w:t xml:space="preserve"> Estudis longitudinals de cohorts de jugadores per mesurar l'abandonament real; anàlisi econòmica del ROI de la inversió paritària en clubs de base; validació de l'impacte del format 3x3 com a eina de retenció adolescent; i avaluació de l'efecte de les quotes de gènere en les juntes directives esportives.</w:t>
      </w:r>
    </w:p>
    <w:tbl>
      <w:tblPr>
        <w:tblW w:type="auto" w:w="0"/>
        <w:tblLook w:firstColumn="1" w:firstRow="1" w:lastColumn="0" w:lastRow="0" w:noHBand="0" w:noVBand="1" w:val="04A0"/>
        <w:jc w:val="center"/>
        <w:tblBorders>
          <w:top w:val="nil"/>
          <w:left w:val="nil"/>
          <w:bottom w:val="nil"/>
          <w:right w:val="nil"/>
          <w:insideH w:val="nil"/>
          <w:insideV w:val="nil"/>
        </w:tblBorders>
      </w:tblPr>
      <w:tblGrid>
        <w:gridCol w:w="10800"/>
      </w:tblGrid>
      <w:tr>
        <w:tc>
          <w:tcPr>
            <w:tcW w:type="dxa" w:w="10800"/>
            <w:tcBorders>
              <w:bottom w:val="single" w:sz="12" w:color="BDC3C7"/>
              <w:left w:val="single" w:sz="12" w:color="BDC3C7"/>
              <w:right w:val="single" w:sz="12" w:color="BDC3C7"/>
              <w:top w:val="single" w:sz="30" w:color="8E44AD"/>
            </w:tcBorders>
            <w:shd w:val="clear" w:color="auto" w:fill="FDFDFD"/>
            <w:tcMar>
              <w:top w:w="600" w:type="dxa"/>
              <w:bottom w:w="600" w:type="dxa"/>
              <w:start w:w="600" w:type="dxa"/>
              <w:end w:w="600" w:type="dxa"/>
            </w:tcMar>
          </w:tcPr>
          <w:p>
            <w:bookmarkStart w:id="16" w:name="section-9"/>
            <w:pPr>
              <w:pStyle w:val="Heading2"/>
              <w:pBdr>
                <w:bottom w:val="single" w:sz="12" w:space="0" w:color="ECF0F1"/>
              </w:pBdr>
              <w:spacing w:lineRule="auto" w:line="304" w:after="120" w:before="900"/>
            </w:pPr>
            <w:r>
              <w:rPr>
                <w:rFonts w:ascii="Arial" w:hAnsi="Arial" w:eastAsia="Arial" w:cs="Arial"/>
                <w:color w:val="8E44AD"/>
                <w:sz w:val="43"/>
              </w:rPr>
              <w:t>Annex: El Mètode Barna</w:t>
            </w:r>
            <w:bookmarkEnd w:id="16" w:name="section-9"/>
          </w:p>
          <w:p>
            <w:pPr>
              <w:spacing w:lineRule="auto" w:line="304" w:after="225"/>
              <w:jc w:val="both"/>
            </w:pPr>
            <w:r>
              <w:rPr>
                <w:rFonts w:ascii="Arial" w:hAnsi="Arial" w:eastAsia="Arial" w:cs="Arial"/>
                <w:color w:val="333333"/>
              </w:rPr>
              <w:t xml:space="preserve">Aquest annex detalla el cas d'estudi empíric que demostra la viabilitat de revertir les tendències sistèmiques descrites en l'informe principal. El </w:t>
            </w:r>
            <w:r>
              <w:rPr>
                <w:rFonts w:ascii="Arial" w:hAnsi="Arial" w:eastAsia="Arial" w:cs="Arial"/>
                <w:b/>
                <w:color w:val="333333"/>
              </w:rPr>
              <w:t>CB Grup Barna</w:t>
            </w:r>
            <w:r>
              <w:rPr>
                <w:rFonts w:ascii="Arial" w:hAnsi="Arial" w:eastAsia="Arial" w:cs="Arial"/>
                <w:color w:val="333333"/>
              </w:rPr>
              <w:t>, un club de barri fundat el 1965 al Clot (districte de Sant Martí, Barcelona), ha desenvolupat durant 60 anys un ecosistema d'alt rendiment i sostenibilitat conegut com "El Mètode Barna".</w:t>
            </w:r>
          </w:p>
          <w:p>
            <w:bookmarkStart w:id="17" w:name="section-9-1"/>
            <w:pPr>
              <w:pStyle w:val="Heading3"/>
              <w:spacing w:lineRule="auto" w:line="304" w:before="450"/>
            </w:pPr>
            <w:r>
              <w:rPr>
                <w:rFonts w:ascii="Arial" w:hAnsi="Arial" w:eastAsia="Arial" w:cs="Arial"/>
                <w:color w:val="34495E"/>
                <w:sz w:val="33"/>
              </w:rPr>
              <w:t>Els Tres Pilars del Mètode</w:t>
            </w:r>
            <w:bookmarkEnd w:id="17" w:name="section-9-1"/>
          </w:p>
          <w:p>
            <w:pPr>
              <w:spacing w:lineRule="auto" w:line="304" w:after="120"/>
              <w:ind w:left="360"/>
            </w:pPr>
            <w:r>
              <w:rPr>
                <w:b/>
              </w:rPr>
              <w:t xml:space="preserve">1. </w:t>
            </w:r>
            <w:r>
              <w:rPr>
                <w:rFonts w:ascii="Arial" w:hAnsi="Arial" w:eastAsia="Arial" w:cs="Arial"/>
                <w:b/>
                <w:color w:val="333333"/>
              </w:rPr>
              <w:t>Inversió Invertida (Paritària):</w:t>
            </w:r>
            <w:r>
              <w:rPr>
                <w:rFonts w:ascii="Arial" w:hAnsi="Arial" w:eastAsia="Arial" w:cs="Arial"/>
                <w:color w:val="333333"/>
              </w:rPr>
              <w:t xml:space="preserve"> Mentre la norma del sector destina el 65% del pressupost sènior al masculí, aquest model inverteix la lògica destinant el 50% del pressupost total (i aproximadament el 65% del pressupost sènior) al bàsquet femení. El resultat: el sènior femení competeix a la Super Copa (màxima categoria catalana), mentre el masculí ho fa a categories inferiors.</w:t>
            </w:r>
          </w:p>
          <w:p>
            <w:pPr>
              <w:spacing w:lineRule="auto" w:line="304" w:after="120"/>
              <w:ind w:left="360"/>
            </w:pPr>
            <w:r>
              <w:rPr>
                <w:b/>
              </w:rPr>
              <w:t xml:space="preserve">2. </w:t>
            </w:r>
            <w:r>
              <w:rPr>
                <w:rFonts w:ascii="Arial" w:hAnsi="Arial" w:eastAsia="Arial" w:cs="Arial"/>
                <w:b/>
                <w:color w:val="333333"/>
              </w:rPr>
              <w:t>Pipeline de Lideratge Complet:</w:t>
            </w:r>
            <w:r>
              <w:rPr>
                <w:rFonts w:ascii="Arial" w:hAnsi="Arial" w:eastAsia="Arial" w:cs="Arial"/>
                <w:color w:val="333333"/>
              </w:rPr>
              <w:t xml:space="preserve"> Un itinerari ininterromput de 6 fases (Escoleta → Formació → Entrenadora → Copa Catalunya → Super Copa → Lliga Endesa). Les jugadores no abandonen el club; transicionen cap al lideratge.</w:t>
            </w:r>
          </w:p>
          <w:p>
            <w:pPr>
              <w:spacing w:lineRule="auto" w:line="304" w:after="120"/>
              <w:ind w:left="360"/>
            </w:pPr>
            <w:r>
              <w:rPr>
                <w:b/>
              </w:rPr>
              <w:t xml:space="preserve">3. </w:t>
            </w:r>
            <w:r>
              <w:rPr>
                <w:rFonts w:ascii="Arial" w:hAnsi="Arial" w:eastAsia="Arial" w:cs="Arial"/>
                <w:b/>
                <w:color w:val="333333"/>
              </w:rPr>
              <w:t>Visibilització Orgànica i Activa:</w:t>
            </w:r>
            <w:r>
              <w:rPr>
                <w:rFonts w:ascii="Arial" w:hAnsi="Arial" w:eastAsia="Arial" w:cs="Arial"/>
                <w:color w:val="333333"/>
              </w:rPr>
              <w:t xml:space="preserve"> Sense campanyes de màrqueting artificials, el club assoleix un 53,7% d'audiència femenina a les xarxes socials. A més, impulsa esdeveniments com el torneig </w:t>
            </w:r>
            <w:r>
              <w:rPr>
                <w:rFonts w:ascii="Arial" w:hAnsi="Arial" w:eastAsia="Arial" w:cs="Arial"/>
                <w:i/>
                <w:color w:val="333333"/>
              </w:rPr>
              <w:t>3x3 Westfield Glòries</w:t>
            </w:r>
            <w:r>
              <w:rPr>
                <w:rFonts w:ascii="Arial" w:hAnsi="Arial" w:eastAsia="Arial" w:cs="Arial"/>
                <w:color w:val="333333"/>
              </w:rPr>
              <w:t xml:space="preserve"> (amb 2,4 milions d'impressions digitals i categoria inclusiva EQUALS) i integra la iconografia femenina a la seva equipació oficial.</w:t>
            </w:r>
          </w:p>
          <w:p>
            <w:bookmarkStart w:id="18" w:name="section-9-2"/>
            <w:pPr>
              <w:pStyle w:val="Heading3"/>
              <w:spacing w:lineRule="auto" w:line="304" w:before="450"/>
            </w:pPr>
            <w:r>
              <w:rPr>
                <w:rFonts w:ascii="Arial" w:hAnsi="Arial" w:eastAsia="Arial" w:cs="Arial"/>
                <w:color w:val="34495E"/>
                <w:sz w:val="33"/>
              </w:rPr>
              <w:t>Patrons Ocults Revelats</w:t>
            </w:r>
            <w:bookmarkEnd w:id="18" w:name="section-9-2"/>
          </w:p>
          <w:p>
            <w:pPr>
              <w:pStyle w:val="ListBullet"/>
              <w:spacing w:lineRule="auto" w:line="304" w:after="120"/>
              <w:ind w:left="360"/>
            </w:pPr>
            <w:r>
              <w:rPr>
                <w:rFonts w:ascii="Arial" w:hAnsi="Arial" w:eastAsia="Arial" w:cs="Arial"/>
                <w:b/>
                <w:color w:val="333333"/>
              </w:rPr>
              <w:t>El Mercat Invisible:</w:t>
            </w:r>
            <w:r>
              <w:rPr>
                <w:rFonts w:ascii="Arial" w:hAnsi="Arial" w:eastAsia="Arial" w:cs="Arial"/>
                <w:color w:val="333333"/>
              </w:rPr>
              <w:t xml:space="preserve"> El talent femení és un actiu infravalorat. Invertir-hi genera un retorn competitiu i social molt superior al cost marginal.</w:t>
            </w:r>
          </w:p>
          <w:p>
            <w:pPr>
              <w:pStyle w:val="ListBullet"/>
              <w:spacing w:lineRule="auto" w:line="304" w:after="120"/>
              <w:ind w:left="360"/>
            </w:pPr>
            <w:r>
              <w:rPr>
                <w:rFonts w:ascii="Arial" w:hAnsi="Arial" w:eastAsia="Arial" w:cs="Arial"/>
                <w:b/>
                <w:color w:val="333333"/>
              </w:rPr>
              <w:t>L'Escala Trencada i el Talent No Mesurat:</w:t>
            </w:r>
            <w:r>
              <w:rPr>
                <w:rFonts w:ascii="Arial" w:hAnsi="Arial" w:eastAsia="Arial" w:cs="Arial"/>
                <w:color w:val="333333"/>
              </w:rPr>
              <w:t xml:space="preserve"> El club compta amb </w:t>
            </w:r>
            <w:r>
              <w:rPr>
                <w:rFonts w:ascii="Arial" w:hAnsi="Arial" w:eastAsia="Arial" w:cs="Arial"/>
                <w:b/>
                <w:color w:val="333333"/>
              </w:rPr>
              <w:t>38 entrenadores actives</w:t>
            </w:r>
            <w:r>
              <w:rPr>
                <w:rFonts w:ascii="Arial" w:hAnsi="Arial" w:eastAsia="Arial" w:cs="Arial"/>
                <w:color w:val="333333"/>
              </w:rPr>
              <w:t xml:space="preserve"> (el 65,5% de l'staff tècnic). La majoria no posseeix titulació oficial per barreres econòmiques i temporals, sent invisibles per a les estadístiques federatives, però fonamentals per a la sostenibilitat del sistema.</w:t>
            </w:r>
          </w:p>
          <w:p>
            <w:pPr>
              <w:pStyle w:val="ListBullet"/>
              <w:spacing w:lineRule="auto" w:line="304" w:after="120"/>
              <w:ind w:left="360"/>
            </w:pPr>
            <w:r>
              <w:rPr>
                <w:rFonts w:ascii="Arial" w:hAnsi="Arial" w:eastAsia="Arial" w:cs="Arial"/>
                <w:b/>
                <w:color w:val="333333"/>
              </w:rPr>
              <w:t>L'Efecte Boomerang:</w:t>
            </w:r>
            <w:r>
              <w:rPr>
                <w:rFonts w:ascii="Arial" w:hAnsi="Arial" w:eastAsia="Arial" w:cs="Arial"/>
                <w:color w:val="333333"/>
              </w:rPr>
              <w:t xml:space="preserve"> La fuga de talent cap a clubs de LF2 (com Almeda o UE Mataró) no es veu com una pèrdua, sinó com una validació formativa que genera referents per a les nenes del barri.</w:t>
            </w:r>
          </w:p>
          <w:p>
            <w:pPr>
              <w:pStyle w:val="ListBullet"/>
              <w:spacing w:lineRule="auto" w:line="304" w:after="120"/>
              <w:ind w:left="360"/>
            </w:pPr>
            <w:r>
              <w:rPr>
                <w:rFonts w:ascii="Arial" w:hAnsi="Arial" w:eastAsia="Arial" w:cs="Arial"/>
                <w:b/>
                <w:color w:val="333333"/>
              </w:rPr>
              <w:t>Formació Inversa:</w:t>
            </w:r>
            <w:r>
              <w:rPr>
                <w:rFonts w:ascii="Arial" w:hAnsi="Arial" w:eastAsia="Arial" w:cs="Arial"/>
                <w:color w:val="333333"/>
              </w:rPr>
              <w:t xml:space="preserve"> Entrenadores femenines dirigint equips masculins. Això normalitza l'autoritat femenina davant dels nens i els pares, generant un canvi cultural profund.</w:t>
            </w:r>
          </w:p>
          <w:p>
            <w:bookmarkStart w:id="19" w:name="section-9-3"/>
            <w:pPr>
              <w:pStyle w:val="Heading3"/>
              <w:spacing w:lineRule="auto" w:line="304" w:before="450"/>
            </w:pPr>
            <w:r>
              <w:rPr>
                <w:rFonts w:ascii="Arial" w:hAnsi="Arial" w:eastAsia="Arial" w:cs="Arial"/>
                <w:color w:val="34495E"/>
                <w:sz w:val="33"/>
              </w:rPr>
              <w:t>El Fons Barna 8M</w:t>
            </w:r>
            <w:bookmarkEnd w:id="19" w:name="section-9-3"/>
          </w:p>
          <w:p>
            <w:pPr>
              <w:spacing w:lineRule="auto" w:line="304" w:after="225"/>
              <w:jc w:val="both"/>
            </w:pPr>
            <w:r>
              <w:rPr>
                <w:rFonts w:ascii="Arial" w:hAnsi="Arial" w:eastAsia="Arial" w:cs="Arial"/>
                <w:color w:val="333333"/>
              </w:rPr>
              <w:t xml:space="preserve">Per trencar la paradoxa on els programes institucionals (com el Mentoria FCBQ) exigeixen titulació prèvia per rebre ajudes, el club ha proposat el </w:t>
            </w:r>
            <w:r>
              <w:rPr>
                <w:rFonts w:ascii="Arial" w:hAnsi="Arial" w:eastAsia="Arial" w:cs="Arial"/>
                <w:b/>
                <w:color w:val="333333"/>
              </w:rPr>
              <w:t>Fons Barna 8M</w:t>
            </w:r>
            <w:r>
              <w:rPr>
                <w:rFonts w:ascii="Arial" w:hAnsi="Arial" w:eastAsia="Arial" w:cs="Arial"/>
                <w:color w:val="333333"/>
              </w:rPr>
              <w:t>. Aquest fons busca finançar el 100% del cost del Certificat de Nivell 0 per a les entrenadores en actiu no titulades, adaptant els horaris i oferint mentoria. És una intervenció directa per regularitzar l'economia submergida del talent tècnic femení.</w:t>
            </w:r>
          </w:p>
          <w:p>
            <w:bookmarkStart w:id="20" w:name="section-9-4"/>
            <w:pPr>
              <w:pStyle w:val="Heading3"/>
              <w:spacing w:lineRule="auto" w:line="304" w:before="450"/>
            </w:pPr>
            <w:r>
              <w:rPr>
                <w:rFonts w:ascii="Arial" w:hAnsi="Arial" w:eastAsia="Arial" w:cs="Arial"/>
                <w:color w:val="34495E"/>
                <w:sz w:val="33"/>
              </w:rPr>
              <w:t>Replicabilitat</w:t>
            </w:r>
            <w:bookmarkEnd w:id="20" w:name="section-9-4"/>
          </w:p>
          <w:p>
            <w:pPr>
              <w:spacing w:lineRule="auto" w:line="304" w:after="225"/>
              <w:jc w:val="both"/>
            </w:pPr>
            <w:r>
              <w:rPr>
                <w:rFonts w:ascii="Arial" w:hAnsi="Arial" w:eastAsia="Arial" w:cs="Arial"/>
                <w:color w:val="333333"/>
              </w:rPr>
              <w:t>El Mètode Barna demostra que la paritat no requereix pressupostos milionaris (el club opera amb 140.000-160.000€ anuals) ni dependència de macroentitats. Requereix una decisió estratègica interna. Si aquest model s'escalés a una xarxa de 5-10 clubs a Barcelona, operant com a "micro-municipis" amb forta identitat de barri, es podria revertir el buit competitiu de la ciutat en menys d'una dècada.</w:t>
            </w:r>
          </w:p>
          <w:tbl>
            <w:tblPr>
              <w:tblW w:type="auto" w:w="0"/>
              <w:jc w:val="center"/>
              <w:tblLook w:firstColumn="1" w:firstRow="1" w:lastColumn="0" w:lastRow="0" w:noHBand="0" w:noVBand="1" w:val="04A0"/>
              <w:tblBorders>
                <w:insideH w:val="single" w:sz="4" w:color="DDDDDD"/>
                <w:insideV w:val="single" w:sz="4" w:color="DDDDDD"/>
              </w:tblBorders>
            </w:tblPr>
            <w:tblGrid>
              <w:gridCol w:w="3600"/>
              <w:gridCol w:w="3600"/>
              <w:gridCol w:w="3600"/>
            </w:tblGrid>
            <w:tr>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Indicador</w:t>
                  </w:r>
                </w:p>
              </w:tc>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Mètode Barna</w:t>
                  </w:r>
                </w:p>
              </w:tc>
              <w:tc>
                <w:tcPr>
                  <w:tcW w:type="dxa" w:w="3600"/>
                  <w:tcBorders>
                    <w:top w:val="single" w:sz="6" w:color="E0E6ED"/>
                    <w:bottom w:val="single" w:sz="6" w:color="E0E6ED"/>
                    <w:start w:val="single" w:sz="6" w:color="E0E6ED"/>
                    <w:end w:val="single" w:sz="6" w:color="E0E6ED"/>
                  </w:tcBorders>
                  <w:shd w:val="clear" w:color="auto" w:fill="F8F9FA"/>
                  <w:tcMar>
                    <w:top w:w="180" w:type="dxa"/>
                    <w:bottom w:w="180" w:type="dxa"/>
                    <w:start w:w="225" w:type="dxa"/>
                    <w:end w:w="225" w:type="dxa"/>
                  </w:tcMar>
                </w:tcPr>
                <w:p>
                  <w:r>
                    <w:rPr>
                      <w:rFonts w:ascii="Arial" w:hAnsi="Arial" w:eastAsia="Arial" w:cs="Arial"/>
                      <w:b w:val="0"/>
                      <w:color w:val="2C3E50"/>
                      <w:sz w:val="20"/>
                    </w:rPr>
                    <w:t>Mitjana BCN (17 clubs)</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Inversió sènior femení</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65%</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~35%</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Equips femenins</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20 (48,8% del total)</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7,9 (37%)</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Ràtio masculí/femení</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0,85:1 (a favor fem.)</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1,51:1</w:t>
                  </w:r>
                </w:p>
              </w:tc>
            </w:tr>
            <w:tr>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 staff tècnic femení</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65,5% (38 entrenadores)</w:t>
                  </w:r>
                </w:p>
              </w:tc>
              <w:tc>
                <w:tcPr>
                  <w:tcW w:type="dxa" w:w="3600"/>
                  <w:tcBorders>
                    <w:top w:val="single" w:sz="6" w:color="E0E6ED"/>
                    <w:bottom w:val="single" w:sz="6" w:color="E0E6ED"/>
                    <w:start w:val="single" w:sz="6" w:color="E0E6ED"/>
                    <w:end w:val="single" w:sz="6" w:color="E0E6ED"/>
                  </w:tcBorders>
                  <w:tcMar>
                    <w:top w:w="180" w:type="dxa"/>
                    <w:bottom w:w="180" w:type="dxa"/>
                    <w:start w:w="225" w:type="dxa"/>
                    <w:end w:w="225" w:type="dxa"/>
                  </w:tcMar>
                </w:tcPr>
                <w:p>
                  <w:r>
                    <w:rPr>
                      <w:rFonts w:ascii="Arial" w:hAnsi="Arial" w:eastAsia="Arial" w:cs="Arial"/>
                      <w:color w:val="333333"/>
                      <w:sz w:val="22"/>
                    </w:rPr>
                    <w:t>&lt; 30%</w:t>
                  </w:r>
                </w:p>
              </w:tc>
            </w:tr>
          </w:tbl>
          <w:p/>
        </w:tc>
      </w:tr>
    </w:tbl>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