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00"/>
        <w:jc w:val="center"/>
      </w:pPr>
      <w:r>
        <w:rPr>
          <w:rFonts w:ascii="Garamond" w:hAnsi="Garamond"/>
          <w:b/>
          <w:caps/>
          <w:color w:val="C41E3A"/>
          <w:sz w:val="32"/>
        </w:rPr>
        <w:t>INFORME COMPLET</w:t>
      </w:r>
    </w:p>
    <w:p>
      <w:pPr>
        <w:spacing w:after="480"/>
        <w:jc w:val="center"/>
      </w:pPr>
      <w:r>
        <w:rPr>
          <w:rFonts w:ascii="Garamond" w:hAnsi="Garamond"/>
          <w:b/>
          <w:color w:val="000000"/>
          <w:sz w:val="64"/>
        </w:rPr>
        <w:t>BÀSQUET A BARCELONA I CATALUNYA</w:t>
      </w:r>
    </w:p>
    <w:p>
      <w:pPr>
        <w:spacing w:after="720"/>
        <w:jc w:val="center"/>
      </w:pPr>
      <w:r>
        <w:rPr>
          <w:rFonts w:ascii="Garamond" w:hAnsi="Garamond"/>
          <w:i/>
          <w:color w:val="4A4A4A"/>
          <w:sz w:val="28"/>
        </w:rPr>
        <w:t>Anàlisi Exhaustiva: Formació, Competició i Propostes de Millora</w:t>
      </w:r>
    </w:p>
    <w:p>
      <w:pPr>
        <w:jc w:val="center"/>
      </w:pPr>
      <w:r>
        <w:rPr>
          <w:rFonts w:ascii="Garamond" w:hAnsi="Garamond"/>
          <w:color w:val="1A1A1A"/>
          <w:sz w:val="24"/>
        </w:rPr>
        <w:t>CB Grup Barna × Ajuntament de Barcelona</w:t>
      </w:r>
    </w:p>
    <w:p>
      <w:pPr>
        <w:spacing w:before="1440"/>
        <w:jc w:val="center"/>
      </w:pPr>
      <w:r>
        <w:rPr>
          <w:rFonts w:ascii="Garamond" w:hAnsi="Garamond"/>
          <w:b/>
          <w:color w:val="C41E3A"/>
          <w:sz w:val="24"/>
        </w:rPr>
        <w:t>Febrer 2026</w:t>
      </w:r>
    </w:p>
    <w:p>
      <w:pPr>
        <w:spacing w:before="960"/>
        <w:jc w:val="center"/>
      </w:pPr>
      <w:r>
        <w:rPr>
          <w:rFonts w:ascii="Garamond" w:hAnsi="Garamond"/>
          <w:i/>
          <w:color w:val="666666"/>
          <w:sz w:val="20"/>
        </w:rPr>
        <w:t>Mostra: 17 clubs BCN + 362 equips formatius + Competicions estatals Catalunya</w:t>
      </w:r>
    </w:p>
    <w:p>
      <w:r>
        <w:br w:type="page"/>
      </w:r>
    </w:p>
    <w:p>
      <w:pPr>
        <w:spacing w:before="480" w:after="720"/>
        <w:jc w:val="center"/>
      </w:pPr>
      <w:r>
        <w:rPr>
          <w:rFonts w:ascii="Garamond" w:hAnsi="Garamond"/>
          <w:b/>
          <w:caps/>
          <w:color w:val="000000"/>
          <w:sz w:val="48"/>
        </w:rPr>
        <w:t>ÍNDEX</w:t>
      </w:r>
    </w:p>
    <w:p>
      <w:r>
        <w:fldChar w:fldCharType="begin"/>
        <w:instrText xml:space="preserve">TOC \o "1-3" \h \z \u</w:instrText>
        <w:fldChar w:fldCharType="separate"/>
        <w:fldChar w:fldCharType="end"/>
      </w:r>
    </w:p>
    <w:p>
      <w:pPr>
        <w:spacing w:before="640"/>
        <w:jc w:val="center"/>
      </w:pPr>
      <w:r>
        <w:rPr>
          <w:rFonts w:ascii="Garamond" w:hAnsi="Garamond"/>
          <w:i/>
          <w:color w:val="808080"/>
          <w:sz w:val="18"/>
        </w:rPr>
        <w:t>Per actualitzar l'índex: clic dret &gt; Actualitzar camps</w:t>
      </w:r>
    </w:p>
    <w:p>
      <w:r>
        <w:br w:type="page"/>
      </w:r>
    </w:p>
    <w:p>
      <w:pPr>
        <w:pStyle w:val="Heading1"/>
      </w:pPr>
      <w:r>
        <w:t>RESUM EXECUTIU</w:t>
      </w:r>
    </w:p>
    <w:p>
      <w:r>
        <w:rPr>
          <w:b/>
        </w:rPr>
        <w:t xml:space="preserve">Aquest informe presenta una radiografia completa i sense precedents del bàsquet a Barcelona i Catalunya, combinant per primera vegada tres dimensions crítics: formació de base, competició estatal masculina i femenina, i anàlisi sistèmica del model de clubs. </w:t>
      </w:r>
    </w:p>
    <w:p>
      <w:r>
        <w:t>La investigació revela una paradoxa estructural alarmant: Barcelona ciutat disposa d'una base formativa potent amb 202 equips masculins i 134 femenins, però aquesta capacitat formativa no es converteix en presència competitiva d'elit. La taxa de conversió de la formació a la competició estatal és del 3,5 per cent en masculí i del 5,2 per cent en femení, xifres que evidencien un buit sistèmic crític.</w:t>
      </w:r>
    </w:p>
    <w:p>
      <w:pPr>
        <w:pStyle w:val="Heading2"/>
      </w:pPr>
      <w:r>
        <w:t>Principals Conclusions</w:t>
      </w:r>
    </w:p>
    <w:p>
      <w:r>
        <w:rPr>
          <w:b/>
          <w:sz w:val="24"/>
        </w:rPr>
        <w:t>FORMACIÓ (Base Sòlida però Aïllada):</w:t>
      </w:r>
    </w:p>
    <w:p>
      <w:pPr>
        <w:pStyle w:val="ListBullet"/>
      </w:pPr>
      <w:r>
        <w:t>Barcelona ciutat compta amb 17 clubs verificats que gestionen 362 equips formatius, representant aproximadament 4.500 a 5.100 esportistes joves.</w:t>
      </w:r>
    </w:p>
    <w:p>
      <w:pPr>
        <w:pStyle w:val="ListBullet"/>
      </w:pPr>
      <w:r>
        <w:t>El CB Grup Barna lidera amb 41 equips totals (17 masculins i 20 femenins), consolidant-se com el club formatiu més gran de la ciutat.</w:t>
      </w:r>
    </w:p>
    <w:p>
      <w:pPr>
        <w:pStyle w:val="ListBullet"/>
      </w:pPr>
      <w:r>
        <w:t>Concentració territorial: Horta-Guinardó concentra el 31,5 per cent dels equips, mentre que districtes com Eixample i Sant Andreu no tenen clubs verificats, creant deserts territorials significatius.</w:t>
      </w:r>
    </w:p>
    <w:p/>
    <w:p>
      <w:r>
        <w:rPr>
          <w:b/>
          <w:sz w:val="24"/>
        </w:rPr>
        <w:t>COMPETICIÓ ESTATAL (Presència Insuficient):</w:t>
      </w:r>
    </w:p>
    <w:p>
      <w:pPr>
        <w:pStyle w:val="ListBullet"/>
      </w:pPr>
      <w:r>
        <w:t>Catalunya domina l'ACB amb 6 equips (33,3 per cent del total espanyol), però Barcelona ciutat només aporta 1 equip (FC Barcelona).</w:t>
      </w:r>
    </w:p>
    <w:p>
      <w:pPr>
        <w:pStyle w:val="ListBullet"/>
      </w:pPr>
      <w:r>
        <w:t>Absència total crítica: cap equip català a Primera FEB masculina, creant un buit competitiu entre ACB i Segunda FEB que trunca el desenvolupament del talent.</w:t>
      </w:r>
    </w:p>
    <w:p>
      <w:pPr>
        <w:pStyle w:val="ListBullet"/>
      </w:pPr>
      <w:r>
        <w:t>Barcelona ciutat no té cap equip a Segunda FEB masculina ni a LF2 femenina, les categories clau per fabricar talent competitiu professional.</w:t>
      </w:r>
    </w:p>
    <w:p>
      <w:pPr>
        <w:pStyle w:val="ListBullet"/>
      </w:pPr>
      <w:r>
        <w:t>Conversió formació-competició extremadament baixa: de 202 equips formatius masculins a només 7-8 equips a Copa Catalunya (3,5 per cent).</w:t>
      </w:r>
    </w:p>
    <w:p/>
    <w:p>
      <w:r>
        <w:rPr>
          <w:b/>
          <w:sz w:val="24"/>
        </w:rPr>
        <w:t>BÀSQUET FEMENÍ (Millor Resultats amb Menys Inversió):</w:t>
      </w:r>
    </w:p>
    <w:p>
      <w:pPr>
        <w:pStyle w:val="ListBullet"/>
      </w:pPr>
      <w:r>
        <w:t>Catalunya té presència forta a nivell estatal: 3 equips a LF Endesa, 2 a LF Challenge i 9 a LF2, però Barcelona ciutat només aporta 1 equip a LF Challenge (Lima-Horta).</w:t>
      </w:r>
    </w:p>
    <w:p>
      <w:pPr>
        <w:pStyle w:val="ListBullet"/>
      </w:pPr>
      <w:r>
        <w:t>Super Copa Femenina FCBQ: Barcelona ciutat representa només 4 de 15 equips (26,7 per cent), evidenciant la descentralització del bàsquet femení d'elit cap a altres municipis catalans.</w:t>
      </w:r>
    </w:p>
    <w:p>
      <w:pPr>
        <w:pStyle w:val="ListBullet"/>
      </w:pPr>
      <w:r>
        <w:t>Paradoxa de gènere en clubs: la majoria de clubs barcelonins inverteixen més recursos en sèniors masculins malgrat obtenir millors resultats competitius en femení.</w:t>
      </w:r>
    </w:p>
    <w:p/>
    <w:p>
      <w:r>
        <w:rPr>
          <w:b/>
          <w:color w:val="C41E3A"/>
          <w:sz w:val="24"/>
        </w:rPr>
        <w:t>CAS PARADIGMÀTIC CB GRUP BARNA:</w:t>
      </w:r>
    </w:p>
    <w:p>
      <w:r>
        <w:t>Club amb més base formativa de Barcelona (41 equips), però amb resultats competitius inversament proporcionals a la inversió de gènere.</w:t>
      </w:r>
    </w:p>
    <w:p>
      <w:r>
        <w:t>Sènior masculí: 13è de 14 a Copa Catalunya (4 victòries, 12 derrotes) tot i ser prioritat històrica d'inversió.</w:t>
      </w:r>
    </w:p>
    <w:p>
      <w:r>
        <w:t>Sènior femení: Top 3 a Super Copa FCBQ amb menys inversió relativa, demostrant major eficiència competitiva.</w:t>
      </w:r>
    </w:p>
    <w:p>
      <w:r>
        <w:t>Model invertit únic: CB Grup Barna dedica aproximadament el 65 per cent del pressupost senior al femení i el 35 per cent al masculí, a l'inrevés de la mitjana barcelonina (65 per cent masculí, 35 per cent femení).</w:t>
      </w:r>
    </w:p>
    <w:p>
      <w:r>
        <w:br w:type="page"/>
      </w:r>
    </w:p>
    <w:p>
      <w:pPr>
        <w:pStyle w:val="Heading2"/>
      </w:pPr>
      <w:r>
        <w:t>PARADOXA CENTRAL: Model Invertit CB Grup Barna</w:t>
      </w:r>
    </w:p>
    <w:p>
      <w:r>
        <w:t>L'anàlisi comparativa revela una realitat sorprenent: el CB Grup Barna opera amb un model d'inversió diametralment oposat al de la resta de clubs barcelonins. Mentre la mitjana dels clubs de Barcelona dedica aproximadament el 65 per cent del seu pressupost de competició senior al masculí i el 35 per cent al femení, el CB Grup Barna inverteix aquestes proporcions, destinant el 65 per cent al femení i el 35 per cent al masculí.</w:t>
      </w:r>
    </w:p>
    <w:p>
      <w:r>
        <w:t>Aquesta inversió, lluny de ser arbitrària, respon a una aposta estratègica pel bàsquet femení que, paradoxalment, ha obtingut millors resultats competitius que la inversió en masculí. El sènior femení del CB Grup Barna es posiciona al Top 3 de la Super Copa Femenina FCBQ, mentre que el sènior masculí lluita per no baixar de categoria a la Copa Catalunya, ocupant la 13a posició de 14 equips.</w:t>
      </w:r>
    </w:p>
    <w:p/>
    <w:p>
      <w:pPr>
        <w:jc w:val="center"/>
      </w:pPr>
      <w:r>
        <w:drawing>
          <wp:inline xmlns:a="http://schemas.openxmlformats.org/drawingml/2006/main" xmlns:pic="http://schemas.openxmlformats.org/drawingml/2006/picture">
            <wp:extent cx="5943600" cy="2536069"/>
            <wp:docPr id="1" name="Picture 1"/>
            <wp:cNvGraphicFramePr>
              <a:graphicFrameLocks noChangeAspect="1"/>
            </wp:cNvGraphicFramePr>
            <a:graphic>
              <a:graphicData uri="http://schemas.openxmlformats.org/drawingml/2006/picture">
                <pic:pic>
                  <pic:nvPicPr>
                    <pic:cNvPr id="0" name="grafico_paradoja_barna.png"/>
                    <pic:cNvPicPr/>
                  </pic:nvPicPr>
                  <pic:blipFill>
                    <a:blip r:embed="rId11"/>
                    <a:stretch>
                      <a:fillRect/>
                    </a:stretch>
                  </pic:blipFill>
                  <pic:spPr>
                    <a:xfrm>
                      <a:off x="0" y="0"/>
                      <a:ext cx="5943600" cy="2536069"/>
                    </a:xfrm>
                    <a:prstGeom prst="rect"/>
                  </pic:spPr>
                </pic:pic>
              </a:graphicData>
            </a:graphic>
          </wp:inline>
        </w:drawing>
      </w:r>
    </w:p>
    <w:p>
      <w:pPr>
        <w:jc w:val="center"/>
      </w:pPr>
      <w:r>
        <w:rPr>
          <w:rFonts w:ascii="Garamond" w:hAnsi="Garamond"/>
          <w:i/>
          <w:color w:val="646464"/>
          <w:sz w:val="18"/>
        </w:rPr>
        <w:t>Figura 1: Comparativa d'inversió i resultats per gènere</w:t>
      </w:r>
    </w:p>
    <w:p>
      <w:r>
        <w:t>Aquesta situació planteja preguntes fonamentals sobre el model de finançament i suport institucional: per què un club que aposta pel femení obté millors resultats amb menys tradició d'inversió? Per què el masculí, amb més història i recursos acumulats, no aconsegueix resultats proporcionals? La resposta s'troba en l'anàlisi sistèmica que desenvolupem en aquest informe.</w:t>
      </w:r>
    </w:p>
    <w:p>
      <w:r>
        <w:br w:type="page"/>
      </w:r>
    </w:p>
    <w:p>
      <w:pPr>
        <w:pStyle w:val="Heading1"/>
      </w:pPr>
      <w:r>
        <w:t>PART 1: BÀSQUET FORMATIU A BARCELONA</w:t>
      </w:r>
    </w:p>
    <w:p>
      <w:pPr>
        <w:pStyle w:val="Heading2"/>
      </w:pPr>
      <w:r>
        <w:t>1.1 Panorama General i Dades Globals</w:t>
      </w:r>
    </w:p>
    <w:p>
      <w:r>
        <w:t>Barcelona ciutat compta amb una xarxa consolidada de 17 clubs de bàsquet federats verificats que gestionen un total de 362 equips en categories formatives i de competició amateur. Aquesta xarxa representa una base sòlida per al desenvolupament del bàsquet a la ciutat, amb una estimació d'entre 4.500 i 5.100 esportistes actius.</w:t>
      </w:r>
    </w:p>
    <w:tbl>
      <w:tblPr>
        <w:tblStyle w:val="MediumGrid1-Accent1"/>
        <w:tblW w:type="auto" w:w="0"/>
        <w:tblLook w:firstColumn="1" w:firstRow="1" w:lastColumn="0" w:lastRow="0" w:noHBand="0" w:noVBand="1" w:val="04A0"/>
      </w:tblPr>
      <w:tblGrid>
        <w:gridCol w:w="4986"/>
        <w:gridCol w:w="4986"/>
      </w:tblGrid>
      <w:tr>
        <w:tc>
          <w:tcPr>
            <w:tcW w:type="dxa" w:w="4986"/>
          </w:tcPr>
          <w:p>
            <w:r>
              <w:rPr>
                <w:rFonts w:ascii="Garamond" w:hAnsi="Garamond"/>
                <w:b/>
                <w:sz w:val="22"/>
              </w:rPr>
              <w:t>INDICADOR</w:t>
            </w:r>
          </w:p>
        </w:tc>
        <w:tc>
          <w:tcPr>
            <w:tcW w:type="dxa" w:w="4986"/>
          </w:tcPr>
          <w:p>
            <w:r>
              <w:rPr>
                <w:rFonts w:ascii="Garamond" w:hAnsi="Garamond"/>
                <w:b/>
                <w:sz w:val="22"/>
              </w:rPr>
              <w:t>VALOR</w:t>
            </w:r>
          </w:p>
        </w:tc>
      </w:tr>
      <w:tr>
        <w:tc>
          <w:tcPr>
            <w:tcW w:type="dxa" w:w="4986"/>
          </w:tcPr>
          <w:p>
            <w:r>
              <w:rPr>
                <w:rFonts w:ascii="Garamond" w:hAnsi="Garamond"/>
                <w:sz w:val="22"/>
              </w:rPr>
              <w:t>Total clubs verificats</w:t>
            </w:r>
          </w:p>
        </w:tc>
        <w:tc>
          <w:tcPr>
            <w:tcW w:type="dxa" w:w="4986"/>
          </w:tcPr>
          <w:p>
            <w:r>
              <w:rPr>
                <w:rFonts w:ascii="Garamond" w:hAnsi="Garamond"/>
                <w:b/>
                <w:sz w:val="22"/>
              </w:rPr>
              <w:t>17</w:t>
            </w:r>
          </w:p>
        </w:tc>
      </w:tr>
      <w:tr>
        <w:tc>
          <w:tcPr>
            <w:tcW w:type="dxa" w:w="4986"/>
          </w:tcPr>
          <w:p>
            <w:r>
              <w:rPr>
                <w:rFonts w:ascii="Garamond" w:hAnsi="Garamond"/>
                <w:sz w:val="22"/>
              </w:rPr>
              <w:t>Total equips</w:t>
            </w:r>
          </w:p>
        </w:tc>
        <w:tc>
          <w:tcPr>
            <w:tcW w:type="dxa" w:w="4986"/>
          </w:tcPr>
          <w:p>
            <w:r>
              <w:rPr>
                <w:rFonts w:ascii="Garamond" w:hAnsi="Garamond"/>
                <w:b/>
                <w:sz w:val="22"/>
              </w:rPr>
              <w:t>362</w:t>
            </w:r>
          </w:p>
        </w:tc>
      </w:tr>
      <w:tr>
        <w:tc>
          <w:tcPr>
            <w:tcW w:type="dxa" w:w="4986"/>
          </w:tcPr>
          <w:p>
            <w:r>
              <w:rPr>
                <w:rFonts w:ascii="Garamond" w:hAnsi="Garamond"/>
                <w:sz w:val="22"/>
              </w:rPr>
              <w:t>Equips masculins</w:t>
            </w:r>
          </w:p>
        </w:tc>
        <w:tc>
          <w:tcPr>
            <w:tcW w:type="dxa" w:w="4986"/>
          </w:tcPr>
          <w:p>
            <w:r>
              <w:rPr>
                <w:rFonts w:ascii="Garamond" w:hAnsi="Garamond"/>
                <w:b/>
                <w:sz w:val="22"/>
              </w:rPr>
              <w:t>202 (55,8%)</w:t>
            </w:r>
          </w:p>
        </w:tc>
      </w:tr>
      <w:tr>
        <w:tc>
          <w:tcPr>
            <w:tcW w:type="dxa" w:w="4986"/>
          </w:tcPr>
          <w:p>
            <w:r>
              <w:rPr>
                <w:rFonts w:ascii="Garamond" w:hAnsi="Garamond"/>
                <w:sz w:val="22"/>
              </w:rPr>
              <w:t>Equips femenins</w:t>
            </w:r>
          </w:p>
        </w:tc>
        <w:tc>
          <w:tcPr>
            <w:tcW w:type="dxa" w:w="4986"/>
          </w:tcPr>
          <w:p>
            <w:r>
              <w:rPr>
                <w:rFonts w:ascii="Garamond" w:hAnsi="Garamond"/>
                <w:b/>
                <w:sz w:val="22"/>
              </w:rPr>
              <w:t>134 (37,0%)</w:t>
            </w:r>
          </w:p>
        </w:tc>
      </w:tr>
      <w:tr>
        <w:tc>
          <w:tcPr>
            <w:tcW w:type="dxa" w:w="4986"/>
          </w:tcPr>
          <w:p>
            <w:r>
              <w:rPr>
                <w:rFonts w:ascii="Garamond" w:hAnsi="Garamond"/>
                <w:sz w:val="22"/>
              </w:rPr>
              <w:t>Equips escola/mixtos</w:t>
            </w:r>
          </w:p>
        </w:tc>
        <w:tc>
          <w:tcPr>
            <w:tcW w:type="dxa" w:w="4986"/>
          </w:tcPr>
          <w:p>
            <w:r>
              <w:rPr>
                <w:rFonts w:ascii="Garamond" w:hAnsi="Garamond"/>
                <w:b/>
                <w:sz w:val="22"/>
              </w:rPr>
              <w:t>26 (7,2%)</w:t>
            </w:r>
          </w:p>
        </w:tc>
      </w:tr>
      <w:tr>
        <w:tc>
          <w:tcPr>
            <w:tcW w:type="dxa" w:w="4986"/>
          </w:tcPr>
          <w:p>
            <w:r>
              <w:rPr>
                <w:rFonts w:ascii="Garamond" w:hAnsi="Garamond"/>
                <w:sz w:val="22"/>
              </w:rPr>
              <w:t>Estimació jugadors/es</w:t>
            </w:r>
          </w:p>
        </w:tc>
        <w:tc>
          <w:tcPr>
            <w:tcW w:type="dxa" w:w="4986"/>
          </w:tcPr>
          <w:p>
            <w:r>
              <w:rPr>
                <w:rFonts w:ascii="Garamond" w:hAnsi="Garamond"/>
                <w:b/>
                <w:sz w:val="22"/>
              </w:rPr>
              <w:t>4.500-5.100</w:t>
            </w:r>
          </w:p>
        </w:tc>
      </w:tr>
    </w:tbl>
    <w:p/>
    <w:p>
      <w:pPr>
        <w:pStyle w:val="Heading2"/>
      </w:pPr>
      <w:r>
        <w:t>1.2 Top 10 Clubs per Volum d'Equips</w:t>
      </w:r>
    </w:p>
    <w:p>
      <w:r>
        <w:t>La distribució de la mida dels clubs mostra una gran heterogeneïtat, amb dos clubs gegants que superen els 35 equips (CB Grup Barna amb 41 i Joventut Les Corts amb 39), quatre clubs grans amb 25 a 34 equips, i una majoria de clubs petits i mitjans que concentren el 51,1 per cent del total.</w:t>
      </w:r>
    </w:p>
    <w:tbl>
      <w:tblPr>
        <w:tblStyle w:val="MediumGrid1-Accent1"/>
        <w:tblW w:type="auto" w:w="0"/>
        <w:tblLook w:firstColumn="1" w:firstRow="1" w:lastColumn="0" w:lastRow="0" w:noHBand="0" w:noVBand="1" w:val="04A0"/>
      </w:tblPr>
      <w:tblGrid>
        <w:gridCol w:w="2493"/>
        <w:gridCol w:w="2493"/>
        <w:gridCol w:w="2493"/>
        <w:gridCol w:w="2493"/>
      </w:tblGrid>
      <w:tr>
        <w:tc>
          <w:tcPr>
            <w:tcW w:type="dxa" w:w="2493"/>
          </w:tcPr>
          <w:p>
            <w:r>
              <w:rPr>
                <w:rFonts w:ascii="Garamond" w:hAnsi="Garamond"/>
                <w:b/>
                <w:sz w:val="20"/>
              </w:rPr>
              <w:t>Pos</w:t>
            </w:r>
          </w:p>
        </w:tc>
        <w:tc>
          <w:tcPr>
            <w:tcW w:type="dxa" w:w="2493"/>
          </w:tcPr>
          <w:p>
            <w:r>
              <w:rPr>
                <w:rFonts w:ascii="Garamond" w:hAnsi="Garamond"/>
                <w:b/>
                <w:sz w:val="20"/>
              </w:rPr>
              <w:t>Club</w:t>
            </w:r>
          </w:p>
        </w:tc>
        <w:tc>
          <w:tcPr>
            <w:tcW w:type="dxa" w:w="2493"/>
          </w:tcPr>
          <w:p>
            <w:r>
              <w:rPr>
                <w:rFonts w:ascii="Garamond" w:hAnsi="Garamond"/>
                <w:b/>
                <w:sz w:val="20"/>
              </w:rPr>
              <w:t>Total Equips</w:t>
            </w:r>
          </w:p>
        </w:tc>
        <w:tc>
          <w:tcPr>
            <w:tcW w:type="dxa" w:w="2493"/>
          </w:tcPr>
          <w:p>
            <w:r>
              <w:rPr>
                <w:rFonts w:ascii="Garamond" w:hAnsi="Garamond"/>
                <w:b/>
                <w:sz w:val="20"/>
              </w:rPr>
              <w:t>Dist. M/F/E</w:t>
            </w:r>
          </w:p>
        </w:tc>
      </w:tr>
      <w:tr>
        <w:tc>
          <w:tcPr>
            <w:tcW w:type="dxa" w:w="2493"/>
          </w:tcPr>
          <w:p>
            <w:r>
              <w:rPr>
                <w:rFonts w:ascii="Garamond" w:hAnsi="Garamond"/>
                <w:b/>
                <w:color w:val="C41E3A"/>
                <w:sz w:val="20"/>
              </w:rPr>
              <w:t>1</w:t>
            </w:r>
          </w:p>
        </w:tc>
        <w:tc>
          <w:tcPr>
            <w:tcW w:type="dxa" w:w="2493"/>
          </w:tcPr>
          <w:p>
            <w:r>
              <w:rPr>
                <w:rFonts w:ascii="Garamond" w:hAnsi="Garamond"/>
                <w:b/>
                <w:color w:val="C41E3A"/>
                <w:sz w:val="20"/>
              </w:rPr>
              <w:t>CB Grup Barna</w:t>
            </w:r>
          </w:p>
        </w:tc>
        <w:tc>
          <w:tcPr>
            <w:tcW w:type="dxa" w:w="2493"/>
          </w:tcPr>
          <w:p>
            <w:r>
              <w:rPr>
                <w:rFonts w:ascii="Garamond" w:hAnsi="Garamond"/>
                <w:b/>
                <w:color w:val="C41E3A"/>
                <w:sz w:val="20"/>
              </w:rPr>
              <w:t>41</w:t>
            </w:r>
          </w:p>
        </w:tc>
        <w:tc>
          <w:tcPr>
            <w:tcW w:type="dxa" w:w="2493"/>
          </w:tcPr>
          <w:p>
            <w:r>
              <w:rPr>
                <w:rFonts w:ascii="Garamond" w:hAnsi="Garamond"/>
                <w:b/>
                <w:color w:val="C41E3A"/>
                <w:sz w:val="20"/>
              </w:rPr>
              <w:t>17 / 20 / 4</w:t>
            </w:r>
          </w:p>
        </w:tc>
      </w:tr>
      <w:tr>
        <w:tc>
          <w:tcPr>
            <w:tcW w:type="dxa" w:w="2493"/>
          </w:tcPr>
          <w:p>
            <w:r>
              <w:rPr>
                <w:rFonts w:ascii="Garamond" w:hAnsi="Garamond"/>
                <w:sz w:val="20"/>
              </w:rPr>
              <w:t>2</w:t>
            </w:r>
          </w:p>
        </w:tc>
        <w:tc>
          <w:tcPr>
            <w:tcW w:type="dxa" w:w="2493"/>
          </w:tcPr>
          <w:p>
            <w:r>
              <w:rPr>
                <w:rFonts w:ascii="Garamond" w:hAnsi="Garamond"/>
                <w:sz w:val="20"/>
              </w:rPr>
              <w:t>Joventut Les Corts</w:t>
            </w:r>
          </w:p>
        </w:tc>
        <w:tc>
          <w:tcPr>
            <w:tcW w:type="dxa" w:w="2493"/>
          </w:tcPr>
          <w:p>
            <w:r>
              <w:rPr>
                <w:rFonts w:ascii="Garamond" w:hAnsi="Garamond"/>
                <w:sz w:val="20"/>
              </w:rPr>
              <w:t>39</w:t>
            </w:r>
          </w:p>
        </w:tc>
        <w:tc>
          <w:tcPr>
            <w:tcW w:type="dxa" w:w="2493"/>
          </w:tcPr>
          <w:p>
            <w:r>
              <w:rPr>
                <w:rFonts w:ascii="Garamond" w:hAnsi="Garamond"/>
                <w:sz w:val="20"/>
              </w:rPr>
              <w:t>17 / 19 / 3</w:t>
            </w:r>
          </w:p>
        </w:tc>
      </w:tr>
      <w:tr>
        <w:tc>
          <w:tcPr>
            <w:tcW w:type="dxa" w:w="2493"/>
          </w:tcPr>
          <w:p>
            <w:r>
              <w:rPr>
                <w:rFonts w:ascii="Garamond" w:hAnsi="Garamond"/>
                <w:sz w:val="20"/>
              </w:rPr>
              <w:t>3</w:t>
            </w:r>
          </w:p>
        </w:tc>
        <w:tc>
          <w:tcPr>
            <w:tcW w:type="dxa" w:w="2493"/>
          </w:tcPr>
          <w:p>
            <w:r>
              <w:rPr>
                <w:rFonts w:ascii="Garamond" w:hAnsi="Garamond"/>
                <w:sz w:val="20"/>
              </w:rPr>
              <w:t>CB Santa Rosa Lima</w:t>
            </w:r>
          </w:p>
        </w:tc>
        <w:tc>
          <w:tcPr>
            <w:tcW w:type="dxa" w:w="2493"/>
          </w:tcPr>
          <w:p>
            <w:r>
              <w:rPr>
                <w:rFonts w:ascii="Garamond" w:hAnsi="Garamond"/>
                <w:sz w:val="20"/>
              </w:rPr>
              <w:t>30</w:t>
            </w:r>
          </w:p>
        </w:tc>
        <w:tc>
          <w:tcPr>
            <w:tcW w:type="dxa" w:w="2493"/>
          </w:tcPr>
          <w:p>
            <w:r>
              <w:rPr>
                <w:rFonts w:ascii="Garamond" w:hAnsi="Garamond"/>
                <w:sz w:val="20"/>
              </w:rPr>
              <w:t>19 / 11 / 0</w:t>
            </w:r>
          </w:p>
        </w:tc>
      </w:tr>
      <w:tr>
        <w:tc>
          <w:tcPr>
            <w:tcW w:type="dxa" w:w="2493"/>
          </w:tcPr>
          <w:p>
            <w:r>
              <w:rPr>
                <w:rFonts w:ascii="Garamond" w:hAnsi="Garamond"/>
                <w:sz w:val="20"/>
              </w:rPr>
              <w:t>4</w:t>
            </w:r>
          </w:p>
        </w:tc>
        <w:tc>
          <w:tcPr>
            <w:tcW w:type="dxa" w:w="2493"/>
          </w:tcPr>
          <w:p>
            <w:r>
              <w:rPr>
                <w:rFonts w:ascii="Garamond" w:hAnsi="Garamond"/>
                <w:sz w:val="20"/>
              </w:rPr>
              <w:t>SE Lluïsos Gràcia</w:t>
            </w:r>
          </w:p>
        </w:tc>
        <w:tc>
          <w:tcPr>
            <w:tcW w:type="dxa" w:w="2493"/>
          </w:tcPr>
          <w:p>
            <w:r>
              <w:rPr>
                <w:rFonts w:ascii="Garamond" w:hAnsi="Garamond"/>
                <w:sz w:val="20"/>
              </w:rPr>
              <w:t>30</w:t>
            </w:r>
          </w:p>
        </w:tc>
        <w:tc>
          <w:tcPr>
            <w:tcW w:type="dxa" w:w="2493"/>
          </w:tcPr>
          <w:p>
            <w:r>
              <w:rPr>
                <w:rFonts w:ascii="Garamond" w:hAnsi="Garamond"/>
                <w:sz w:val="20"/>
              </w:rPr>
              <w:t>14 / 12 / 4</w:t>
            </w:r>
          </w:p>
        </w:tc>
      </w:tr>
      <w:tr>
        <w:tc>
          <w:tcPr>
            <w:tcW w:type="dxa" w:w="2493"/>
          </w:tcPr>
          <w:p>
            <w:r>
              <w:rPr>
                <w:rFonts w:ascii="Garamond" w:hAnsi="Garamond"/>
                <w:sz w:val="20"/>
              </w:rPr>
              <w:t>5</w:t>
            </w:r>
          </w:p>
        </w:tc>
        <w:tc>
          <w:tcPr>
            <w:tcW w:type="dxa" w:w="2493"/>
          </w:tcPr>
          <w:p>
            <w:r>
              <w:rPr>
                <w:rFonts w:ascii="Garamond" w:hAnsi="Garamond"/>
                <w:sz w:val="20"/>
              </w:rPr>
              <w:t>JAC Sants Barcelona</w:t>
            </w:r>
          </w:p>
        </w:tc>
        <w:tc>
          <w:tcPr>
            <w:tcW w:type="dxa" w:w="2493"/>
          </w:tcPr>
          <w:p>
            <w:r>
              <w:rPr>
                <w:rFonts w:ascii="Garamond" w:hAnsi="Garamond"/>
                <w:sz w:val="20"/>
              </w:rPr>
              <w:t>29</w:t>
            </w:r>
          </w:p>
        </w:tc>
        <w:tc>
          <w:tcPr>
            <w:tcW w:type="dxa" w:w="2493"/>
          </w:tcPr>
          <w:p>
            <w:r>
              <w:rPr>
                <w:rFonts w:ascii="Garamond" w:hAnsi="Garamond"/>
                <w:sz w:val="20"/>
              </w:rPr>
              <w:t>18 / 8 / 3</w:t>
            </w:r>
          </w:p>
        </w:tc>
      </w:tr>
      <w:tr>
        <w:tc>
          <w:tcPr>
            <w:tcW w:type="dxa" w:w="2493"/>
          </w:tcPr>
          <w:p>
            <w:r>
              <w:rPr>
                <w:rFonts w:ascii="Garamond" w:hAnsi="Garamond"/>
                <w:sz w:val="20"/>
              </w:rPr>
              <w:t>6</w:t>
            </w:r>
          </w:p>
        </w:tc>
        <w:tc>
          <w:tcPr>
            <w:tcW w:type="dxa" w:w="2493"/>
          </w:tcPr>
          <w:p>
            <w:r>
              <w:rPr>
                <w:rFonts w:ascii="Garamond" w:hAnsi="Garamond"/>
                <w:sz w:val="20"/>
              </w:rPr>
              <w:t>SESE</w:t>
            </w:r>
          </w:p>
        </w:tc>
        <w:tc>
          <w:tcPr>
            <w:tcW w:type="dxa" w:w="2493"/>
          </w:tcPr>
          <w:p>
            <w:r>
              <w:rPr>
                <w:rFonts w:ascii="Garamond" w:hAnsi="Garamond"/>
                <w:sz w:val="20"/>
              </w:rPr>
              <w:t>29</w:t>
            </w:r>
          </w:p>
        </w:tc>
        <w:tc>
          <w:tcPr>
            <w:tcW w:type="dxa" w:w="2493"/>
          </w:tcPr>
          <w:p>
            <w:r>
              <w:rPr>
                <w:rFonts w:ascii="Garamond" w:hAnsi="Garamond"/>
                <w:sz w:val="20"/>
              </w:rPr>
              <w:t>13 / 13 / 3</w:t>
            </w:r>
          </w:p>
        </w:tc>
      </w:tr>
      <w:tr>
        <w:tc>
          <w:tcPr>
            <w:tcW w:type="dxa" w:w="2493"/>
          </w:tcPr>
          <w:p>
            <w:r>
              <w:rPr>
                <w:rFonts w:ascii="Garamond" w:hAnsi="Garamond"/>
                <w:sz w:val="20"/>
              </w:rPr>
              <w:t>7</w:t>
            </w:r>
          </w:p>
        </w:tc>
        <w:tc>
          <w:tcPr>
            <w:tcW w:type="dxa" w:w="2493"/>
          </w:tcPr>
          <w:p>
            <w:r>
              <w:rPr>
                <w:rFonts w:ascii="Garamond" w:hAnsi="Garamond"/>
                <w:sz w:val="20"/>
              </w:rPr>
              <w:t>FC Martinenc Bàsquet</w:t>
            </w:r>
          </w:p>
        </w:tc>
        <w:tc>
          <w:tcPr>
            <w:tcW w:type="dxa" w:w="2493"/>
          </w:tcPr>
          <w:p>
            <w:r>
              <w:rPr>
                <w:rFonts w:ascii="Garamond" w:hAnsi="Garamond"/>
                <w:sz w:val="20"/>
              </w:rPr>
              <w:t>28</w:t>
            </w:r>
          </w:p>
        </w:tc>
        <w:tc>
          <w:tcPr>
            <w:tcW w:type="dxa" w:w="2493"/>
          </w:tcPr>
          <w:p>
            <w:r>
              <w:rPr>
                <w:rFonts w:ascii="Garamond" w:hAnsi="Garamond"/>
                <w:sz w:val="20"/>
              </w:rPr>
              <w:t>15 / 11 / 2</w:t>
            </w:r>
          </w:p>
        </w:tc>
      </w:tr>
      <w:tr>
        <w:tc>
          <w:tcPr>
            <w:tcW w:type="dxa" w:w="2493"/>
          </w:tcPr>
          <w:p>
            <w:r>
              <w:rPr>
                <w:rFonts w:ascii="Garamond" w:hAnsi="Garamond"/>
                <w:sz w:val="20"/>
              </w:rPr>
              <w:t>8</w:t>
            </w:r>
          </w:p>
        </w:tc>
        <w:tc>
          <w:tcPr>
            <w:tcW w:type="dxa" w:w="2493"/>
          </w:tcPr>
          <w:p>
            <w:r>
              <w:rPr>
                <w:rFonts w:ascii="Garamond" w:hAnsi="Garamond"/>
                <w:sz w:val="20"/>
              </w:rPr>
              <w:t>CB Coll</w:t>
            </w:r>
          </w:p>
        </w:tc>
        <w:tc>
          <w:tcPr>
            <w:tcW w:type="dxa" w:w="2493"/>
          </w:tcPr>
          <w:p>
            <w:r>
              <w:rPr>
                <w:rFonts w:ascii="Garamond" w:hAnsi="Garamond"/>
                <w:sz w:val="20"/>
              </w:rPr>
              <w:t>20</w:t>
            </w:r>
          </w:p>
        </w:tc>
        <w:tc>
          <w:tcPr>
            <w:tcW w:type="dxa" w:w="2493"/>
          </w:tcPr>
          <w:p>
            <w:r>
              <w:rPr>
                <w:rFonts w:ascii="Garamond" w:hAnsi="Garamond"/>
                <w:sz w:val="20"/>
              </w:rPr>
              <w:t>12 / 8 / 0</w:t>
            </w:r>
          </w:p>
        </w:tc>
      </w:tr>
      <w:tr>
        <w:tc>
          <w:tcPr>
            <w:tcW w:type="dxa" w:w="2493"/>
          </w:tcPr>
          <w:p>
            <w:r>
              <w:rPr>
                <w:rFonts w:ascii="Garamond" w:hAnsi="Garamond"/>
                <w:sz w:val="20"/>
              </w:rPr>
              <w:t>9</w:t>
            </w:r>
          </w:p>
        </w:tc>
        <w:tc>
          <w:tcPr>
            <w:tcW w:type="dxa" w:w="2493"/>
          </w:tcPr>
          <w:p>
            <w:r>
              <w:rPr>
                <w:rFonts w:ascii="Garamond" w:hAnsi="Garamond"/>
                <w:sz w:val="20"/>
              </w:rPr>
              <w:t>UE d'Horta</w:t>
            </w:r>
          </w:p>
        </w:tc>
        <w:tc>
          <w:tcPr>
            <w:tcW w:type="dxa" w:w="2493"/>
          </w:tcPr>
          <w:p>
            <w:r>
              <w:rPr>
                <w:rFonts w:ascii="Garamond" w:hAnsi="Garamond"/>
                <w:sz w:val="20"/>
              </w:rPr>
              <w:t>17</w:t>
            </w:r>
          </w:p>
        </w:tc>
        <w:tc>
          <w:tcPr>
            <w:tcW w:type="dxa" w:w="2493"/>
          </w:tcPr>
          <w:p>
            <w:r>
              <w:rPr>
                <w:rFonts w:ascii="Garamond" w:hAnsi="Garamond"/>
                <w:sz w:val="20"/>
              </w:rPr>
              <w:t>11 / 6 / 0</w:t>
            </w:r>
          </w:p>
        </w:tc>
      </w:tr>
      <w:tr>
        <w:tc>
          <w:tcPr>
            <w:tcW w:type="dxa" w:w="2493"/>
          </w:tcPr>
          <w:p>
            <w:r>
              <w:rPr>
                <w:rFonts w:ascii="Garamond" w:hAnsi="Garamond"/>
                <w:sz w:val="20"/>
              </w:rPr>
              <w:t>10</w:t>
            </w:r>
          </w:p>
        </w:tc>
        <w:tc>
          <w:tcPr>
            <w:tcW w:type="dxa" w:w="2493"/>
          </w:tcPr>
          <w:p>
            <w:r>
              <w:rPr>
                <w:rFonts w:ascii="Garamond" w:hAnsi="Garamond"/>
                <w:sz w:val="20"/>
              </w:rPr>
              <w:t>AE Les Corts</w:t>
            </w:r>
          </w:p>
        </w:tc>
        <w:tc>
          <w:tcPr>
            <w:tcW w:type="dxa" w:w="2493"/>
          </w:tcPr>
          <w:p>
            <w:r>
              <w:rPr>
                <w:rFonts w:ascii="Garamond" w:hAnsi="Garamond"/>
                <w:sz w:val="20"/>
              </w:rPr>
              <w:t>17</w:t>
            </w:r>
          </w:p>
        </w:tc>
        <w:tc>
          <w:tcPr>
            <w:tcW w:type="dxa" w:w="2493"/>
          </w:tcPr>
          <w:p>
            <w:r>
              <w:rPr>
                <w:rFonts w:ascii="Garamond" w:hAnsi="Garamond"/>
                <w:sz w:val="20"/>
              </w:rPr>
              <w:t>11 / 6 / 0</w:t>
            </w:r>
          </w:p>
        </w:tc>
      </w:tr>
    </w:tbl>
    <w:p/>
    <w:p>
      <w:r>
        <w:t>El lideratge del CB Grup Barna és incontestable amb 41 equips totals, situant-se com el club més gran no només de Barcelona ciutat sinó també de la seva àrea metropolitana. La seva aposta per la paritat de gènere es reflecteix en la distribució de 17 equips masculins i 20 femenins, una inversió en femení superior a la de qualsevol altre club de la mostra.</w:t>
      </w:r>
    </w:p>
    <w:p>
      <w:r>
        <w:br w:type="page"/>
      </w:r>
    </w:p>
    <w:p>
      <w:pPr>
        <w:pStyle w:val="Heading2"/>
      </w:pPr>
      <w:r>
        <w:t>5.2 Eix 1: Infraestructures i Accessibilitat</w:t>
      </w:r>
    </w:p>
    <w:p>
      <w:r>
        <w:rPr>
          <w:b/>
          <w:color w:val="0066CC"/>
          <w:sz w:val="22"/>
        </w:rPr>
        <w:t>Pressupost anual: 850.000€</w:t>
      </w:r>
    </w:p>
    <w:p>
      <w:pPr>
        <w:pStyle w:val="Heading3"/>
      </w:pPr>
      <w:r>
        <w:t>Mesures concretes:</w:t>
      </w:r>
    </w:p>
    <w:p>
      <w:pPr>
        <w:pStyle w:val="ListBullet"/>
      </w:pPr>
      <w:r>
        <w:t>Protocol de franges prioritàries: Reservar horaris prime time (19h-21h) almenys 3 dies per setmana per a equips sèniors competitius de clubs amb projectes a Segunda FEB/LF2.</w:t>
      </w:r>
    </w:p>
    <w:p>
      <w:pPr>
        <w:pStyle w:val="ListBullet"/>
      </w:pPr>
      <w:r>
        <w:t>Millora d'equipaments: Inversió en 4-6 pavellons estratègics per adaptar-los a retransmissions (il·luminació professional, marcadors electrònics, streaming), millorar vestidors i zones d'escalfament.</w:t>
      </w:r>
    </w:p>
    <w:p>
      <w:pPr>
        <w:pStyle w:val="ListBullet"/>
      </w:pPr>
      <w:r>
        <w:t>Pistes 3x3 exterior: Construcció de 3-4 pistes de bàsquet 3x3 en zones estratègiques (Eixample, Sant Andreu, Besòs) per fomentar la pràctica lliure i la captació.</w:t>
      </w:r>
    </w:p>
    <w:p>
      <w:pPr>
        <w:pStyle w:val="ListBullet"/>
      </w:pPr>
      <w:r>
        <w:t>Pavelló Referent: Designar 1-2 pavellons municipals com a "Pavelló Referent del Bàsquet Competitiu" amb condicions preferents per a clubs amb projectes d'elit.</w:t>
      </w:r>
    </w:p>
    <w:p>
      <w:pPr>
        <w:pStyle w:val="Heading2"/>
      </w:pPr>
      <w:r>
        <w:t>5.3 Eix 2: Finançament Competitiu</w:t>
      </w:r>
    </w:p>
    <w:p>
      <w:r>
        <w:rPr>
          <w:b/>
          <w:color w:val="0066CC"/>
          <w:sz w:val="22"/>
        </w:rPr>
        <w:t>Pressupost anual: 400.000€</w:t>
      </w:r>
    </w:p>
    <w:p>
      <w:pPr>
        <w:pStyle w:val="Heading3"/>
      </w:pPr>
      <w:r>
        <w:t>Mesures concretes:</w:t>
      </w:r>
    </w:p>
    <w:p>
      <w:pPr>
        <w:pStyle w:val="ListBullet"/>
      </w:pPr>
      <w:r>
        <w:t>Fons Municipal Competitiu: Creació d'un fons de 200.000€ anuals per a clubs amb projectes verificats a Segunda FEB/LF2, amb ajudes de 50.000 a 100.000€ per club/temporada.</w:t>
      </w:r>
    </w:p>
    <w:p>
      <w:pPr>
        <w:pStyle w:val="ListBullet"/>
      </w:pPr>
      <w:r>
        <w:t>Programa de beques jugadors/es: 100.000€ per becar fins a 20 jugadors i jugadores locals amb talent per facilitar la seva permanència a clubs barcelonins en lloc de marxar a altres ciutats.</w:t>
      </w:r>
    </w:p>
    <w:p>
      <w:pPr>
        <w:pStyle w:val="ListBullet"/>
      </w:pPr>
      <w:r>
        <w:t>Suport a staff professional: 100.000€ per cofinançar costos de fisioterapeutes, preparadors físics i analistes de vídeo compartits entre diversos clubs.</w:t>
      </w:r>
    </w:p>
    <w:p>
      <w:pPr>
        <w:pStyle w:val="Heading2"/>
      </w:pPr>
      <w:r>
        <w:t>5.4 Eix 3: Suport Tècnic i Formació</w:t>
      </w:r>
    </w:p>
    <w:p>
      <w:r>
        <w:rPr>
          <w:b/>
          <w:color w:val="0066CC"/>
          <w:sz w:val="22"/>
        </w:rPr>
        <w:t>Pressupost anual: 200.000€</w:t>
      </w:r>
    </w:p>
    <w:p>
      <w:pPr>
        <w:pStyle w:val="Heading3"/>
      </w:pPr>
      <w:r>
        <w:t>Mesures concretes:</w:t>
      </w:r>
    </w:p>
    <w:p>
      <w:pPr>
        <w:pStyle w:val="ListBullet"/>
      </w:pPr>
      <w:r>
        <w:t>Programa Municipal de Tecnificació: Crear un programa de tecnificació per a jugadors i jugadores Sub-18 amb potencial competitiu, gestionat conjuntament per l'Ajuntament i els clubs participants.</w:t>
      </w:r>
    </w:p>
    <w:p>
      <w:pPr>
        <w:pStyle w:val="ListBullet"/>
      </w:pPr>
      <w:r>
        <w:t>Formació d'entrenadors/es: Beques completes per a 10-15 entrenadors i entrenadores per obtenir títols superiors (Nivell 2 i 3) i especialitzacions en alt rendiment.</w:t>
      </w:r>
    </w:p>
    <w:p>
      <w:pPr>
        <w:pStyle w:val="ListBullet"/>
      </w:pPr>
      <w:r>
        <w:t>Serveis mèdics compartits: Contractar 2-3 fisioterapeutes i 1 metge esportiu municipals a disposició dels clubs competitius de la ciutat.</w:t>
      </w:r>
    </w:p>
    <w:p>
      <w:pPr>
        <w:pStyle w:val="Heading2"/>
      </w:pPr>
      <w:r>
        <w:t>5.5 Eix 4: Comunicació i Visibilitat</w:t>
      </w:r>
    </w:p>
    <w:p>
      <w:r>
        <w:rPr>
          <w:b/>
          <w:color w:val="0066CC"/>
          <w:sz w:val="22"/>
        </w:rPr>
        <w:t>Pressupost anual: 150.000€</w:t>
      </w:r>
    </w:p>
    <w:p>
      <w:pPr>
        <w:pStyle w:val="Heading3"/>
      </w:pPr>
      <w:r>
        <w:t>Mesures concretes:</w:t>
      </w:r>
    </w:p>
    <w:p>
      <w:pPr>
        <w:pStyle w:val="ListBullet"/>
      </w:pPr>
      <w:r>
        <w:t>Campanya "Barcelona Competeix": Campanya de ciutat amb visibilitat als mitjans locals, xarxes socials i espais públics per promoure el bàsquet competitiu barceloní.</w:t>
      </w:r>
    </w:p>
    <w:p>
      <w:pPr>
        <w:pStyle w:val="ListBullet"/>
      </w:pPr>
      <w:r>
        <w:t>Retransmissions en streaming: Garantir la retransmissió d'almenys 2 partits setmanals de clubs barcelonins a plataformes digitals.</w:t>
      </w:r>
    </w:p>
    <w:p>
      <w:pPr>
        <w:pStyle w:val="ListBullet"/>
      </w:pPr>
      <w:r>
        <w:t>Paritat comunicativa: Protocol per garantir visibilitat igual a equips masculins i femenins en tots els canals municipals.</w:t>
      </w:r>
    </w:p>
    <w:p>
      <w:pPr>
        <w:pStyle w:val="Heading2"/>
      </w:pPr>
      <w:r>
        <w:t>5.6 Eix 5: Coordinació i Governança</w:t>
      </w:r>
    </w:p>
    <w:p>
      <w:r>
        <w:rPr>
          <w:b/>
          <w:color w:val="0066CC"/>
          <w:sz w:val="22"/>
        </w:rPr>
        <w:t>Pressupost anual: 100.000€</w:t>
      </w:r>
    </w:p>
    <w:p>
      <w:pPr>
        <w:pStyle w:val="Heading3"/>
      </w:pPr>
      <w:r>
        <w:t>Mesures concretes:</w:t>
      </w:r>
    </w:p>
    <w:p>
      <w:pPr>
        <w:pStyle w:val="ListBullet"/>
      </w:pPr>
      <w:r>
        <w:t>Taula Permanent Bàsquet BCN: Crear un òrgan de coordinació amb representació de l'Ajuntament, clubs, FCBQ i jugadors/es per consensuar polítiques i prioritats.</w:t>
      </w:r>
    </w:p>
    <w:p>
      <w:pPr>
        <w:pStyle w:val="ListBullet"/>
      </w:pPr>
      <w:r>
        <w:t>Protocol d'ús d'instal·lacions: Establir regles clares i objectives per l'assignació d'horaris i espais, amb criteris de priorització transparents.</w:t>
      </w:r>
    </w:p>
    <w:p>
      <w:pPr>
        <w:pStyle w:val="ListBullet"/>
      </w:pPr>
      <w:r>
        <w:t>Pla Director 2026-2030: Elaborar un document estratègic vinculant amb objectius quantificables, pressupost plurianual i mecanismes de seguiment i avaluació.</w:t>
      </w:r>
    </w:p>
    <w:p>
      <w:r>
        <w:br w:type="page"/>
      </w:r>
    </w:p>
    <w:p>
      <w:pPr>
        <w:pStyle w:val="Heading2"/>
      </w:pPr>
      <w:r>
        <w:t>5.7 Pressupost Consolidat i Fonts de Finançament</w:t>
      </w:r>
    </w:p>
    <w:tbl>
      <w:tblPr>
        <w:tblStyle w:val="MediumGrid1-Accent1"/>
        <w:tblW w:type="auto" w:w="0"/>
        <w:tblLook w:firstColumn="1" w:firstRow="1" w:lastColumn="0" w:lastRow="0" w:noHBand="0" w:noVBand="1" w:val="04A0"/>
      </w:tblPr>
      <w:tblGrid>
        <w:gridCol w:w="3324"/>
        <w:gridCol w:w="3324"/>
        <w:gridCol w:w="3324"/>
      </w:tblGrid>
      <w:tr>
        <w:tc>
          <w:tcPr>
            <w:tcW w:type="dxa" w:w="3324"/>
          </w:tcPr>
          <w:p>
            <w:r>
              <w:rPr>
                <w:rFonts w:ascii="Garamond" w:hAnsi="Garamond"/>
                <w:b/>
                <w:sz w:val="22"/>
              </w:rPr>
              <w:t>Eix Estratègic</w:t>
            </w:r>
          </w:p>
        </w:tc>
        <w:tc>
          <w:tcPr>
            <w:tcW w:type="dxa" w:w="3324"/>
          </w:tcPr>
          <w:p>
            <w:r>
              <w:rPr>
                <w:rFonts w:ascii="Garamond" w:hAnsi="Garamond"/>
                <w:b/>
                <w:sz w:val="22"/>
              </w:rPr>
              <w:t>Inversió Anual</w:t>
            </w:r>
          </w:p>
        </w:tc>
        <w:tc>
          <w:tcPr>
            <w:tcW w:type="dxa" w:w="3324"/>
          </w:tcPr>
          <w:p>
            <w:r>
              <w:rPr>
                <w:rFonts w:ascii="Garamond" w:hAnsi="Garamond"/>
                <w:b/>
                <w:sz w:val="22"/>
              </w:rPr>
              <w:t>% Total</w:t>
            </w:r>
          </w:p>
        </w:tc>
      </w:tr>
      <w:tr>
        <w:tc>
          <w:tcPr>
            <w:tcW w:type="dxa" w:w="3324"/>
          </w:tcPr>
          <w:p>
            <w:r>
              <w:rPr>
                <w:rFonts w:ascii="Garamond" w:hAnsi="Garamond"/>
                <w:sz w:val="22"/>
              </w:rPr>
              <w:t>1. Infraestructures</w:t>
            </w:r>
          </w:p>
        </w:tc>
        <w:tc>
          <w:tcPr>
            <w:tcW w:type="dxa" w:w="3324"/>
          </w:tcPr>
          <w:p>
            <w:r>
              <w:rPr>
                <w:rFonts w:ascii="Garamond" w:hAnsi="Garamond"/>
                <w:sz w:val="22"/>
              </w:rPr>
              <w:t>850.000€</w:t>
            </w:r>
          </w:p>
        </w:tc>
        <w:tc>
          <w:tcPr>
            <w:tcW w:type="dxa" w:w="3324"/>
          </w:tcPr>
          <w:p>
            <w:r>
              <w:rPr>
                <w:rFonts w:ascii="Garamond" w:hAnsi="Garamond"/>
                <w:sz w:val="22"/>
              </w:rPr>
              <w:t>50,0%</w:t>
            </w:r>
          </w:p>
        </w:tc>
      </w:tr>
      <w:tr>
        <w:tc>
          <w:tcPr>
            <w:tcW w:type="dxa" w:w="3324"/>
          </w:tcPr>
          <w:p>
            <w:r>
              <w:rPr>
                <w:rFonts w:ascii="Garamond" w:hAnsi="Garamond"/>
                <w:sz w:val="22"/>
              </w:rPr>
              <w:t>2. Finançament Competitiu</w:t>
            </w:r>
          </w:p>
        </w:tc>
        <w:tc>
          <w:tcPr>
            <w:tcW w:type="dxa" w:w="3324"/>
          </w:tcPr>
          <w:p>
            <w:r>
              <w:rPr>
                <w:rFonts w:ascii="Garamond" w:hAnsi="Garamond"/>
                <w:sz w:val="22"/>
              </w:rPr>
              <w:t>400.000€</w:t>
            </w:r>
          </w:p>
        </w:tc>
        <w:tc>
          <w:tcPr>
            <w:tcW w:type="dxa" w:w="3324"/>
          </w:tcPr>
          <w:p>
            <w:r>
              <w:rPr>
                <w:rFonts w:ascii="Garamond" w:hAnsi="Garamond"/>
                <w:sz w:val="22"/>
              </w:rPr>
              <w:t>23,5%</w:t>
            </w:r>
          </w:p>
        </w:tc>
      </w:tr>
      <w:tr>
        <w:tc>
          <w:tcPr>
            <w:tcW w:type="dxa" w:w="3324"/>
          </w:tcPr>
          <w:p>
            <w:r>
              <w:rPr>
                <w:rFonts w:ascii="Garamond" w:hAnsi="Garamond"/>
                <w:sz w:val="22"/>
              </w:rPr>
              <w:t>3. Suport Tècnic</w:t>
            </w:r>
          </w:p>
        </w:tc>
        <w:tc>
          <w:tcPr>
            <w:tcW w:type="dxa" w:w="3324"/>
          </w:tcPr>
          <w:p>
            <w:r>
              <w:rPr>
                <w:rFonts w:ascii="Garamond" w:hAnsi="Garamond"/>
                <w:sz w:val="22"/>
              </w:rPr>
              <w:t>200.000€</w:t>
            </w:r>
          </w:p>
        </w:tc>
        <w:tc>
          <w:tcPr>
            <w:tcW w:type="dxa" w:w="3324"/>
          </w:tcPr>
          <w:p>
            <w:r>
              <w:rPr>
                <w:rFonts w:ascii="Garamond" w:hAnsi="Garamond"/>
                <w:sz w:val="22"/>
              </w:rPr>
              <w:t>11,8%</w:t>
            </w:r>
          </w:p>
        </w:tc>
      </w:tr>
      <w:tr>
        <w:tc>
          <w:tcPr>
            <w:tcW w:type="dxa" w:w="3324"/>
          </w:tcPr>
          <w:p>
            <w:r>
              <w:rPr>
                <w:rFonts w:ascii="Garamond" w:hAnsi="Garamond"/>
                <w:sz w:val="22"/>
              </w:rPr>
              <w:t>4. Comunicació</w:t>
            </w:r>
          </w:p>
        </w:tc>
        <w:tc>
          <w:tcPr>
            <w:tcW w:type="dxa" w:w="3324"/>
          </w:tcPr>
          <w:p>
            <w:r>
              <w:rPr>
                <w:rFonts w:ascii="Garamond" w:hAnsi="Garamond"/>
                <w:sz w:val="22"/>
              </w:rPr>
              <w:t>150.000€</w:t>
            </w:r>
          </w:p>
        </w:tc>
        <w:tc>
          <w:tcPr>
            <w:tcW w:type="dxa" w:w="3324"/>
          </w:tcPr>
          <w:p>
            <w:r>
              <w:rPr>
                <w:rFonts w:ascii="Garamond" w:hAnsi="Garamond"/>
                <w:sz w:val="22"/>
              </w:rPr>
              <w:t>8,8%</w:t>
            </w:r>
          </w:p>
        </w:tc>
      </w:tr>
      <w:tr>
        <w:tc>
          <w:tcPr>
            <w:tcW w:type="dxa" w:w="3324"/>
          </w:tcPr>
          <w:p>
            <w:r>
              <w:rPr>
                <w:rFonts w:ascii="Garamond" w:hAnsi="Garamond"/>
                <w:sz w:val="22"/>
              </w:rPr>
              <w:t>5. Coordinació</w:t>
            </w:r>
          </w:p>
        </w:tc>
        <w:tc>
          <w:tcPr>
            <w:tcW w:type="dxa" w:w="3324"/>
          </w:tcPr>
          <w:p>
            <w:r>
              <w:rPr>
                <w:rFonts w:ascii="Garamond" w:hAnsi="Garamond"/>
                <w:sz w:val="22"/>
              </w:rPr>
              <w:t>100.000€</w:t>
            </w:r>
          </w:p>
        </w:tc>
        <w:tc>
          <w:tcPr>
            <w:tcW w:type="dxa" w:w="3324"/>
          </w:tcPr>
          <w:p>
            <w:r>
              <w:rPr>
                <w:rFonts w:ascii="Garamond" w:hAnsi="Garamond"/>
                <w:sz w:val="22"/>
              </w:rPr>
              <w:t>5,9%</w:t>
            </w:r>
          </w:p>
        </w:tc>
      </w:tr>
      <w:tr>
        <w:tc>
          <w:tcPr>
            <w:tcW w:type="dxa" w:w="3324"/>
          </w:tcPr>
          <w:p>
            <w:r>
              <w:rPr>
                <w:rFonts w:ascii="Garamond" w:hAnsi="Garamond"/>
                <w:b/>
                <w:color w:val="0066CC"/>
                <w:sz w:val="22"/>
              </w:rPr>
              <w:t>TOTAL ANUAL</w:t>
            </w:r>
          </w:p>
        </w:tc>
        <w:tc>
          <w:tcPr>
            <w:tcW w:type="dxa" w:w="3324"/>
          </w:tcPr>
          <w:p>
            <w:r>
              <w:rPr>
                <w:rFonts w:ascii="Garamond" w:hAnsi="Garamond"/>
                <w:b/>
                <w:color w:val="0066CC"/>
                <w:sz w:val="22"/>
              </w:rPr>
              <w:t>1.700.000€</w:t>
            </w:r>
          </w:p>
        </w:tc>
        <w:tc>
          <w:tcPr>
            <w:tcW w:type="dxa" w:w="3324"/>
          </w:tcPr>
          <w:p>
            <w:r>
              <w:rPr>
                <w:rFonts w:ascii="Garamond" w:hAnsi="Garamond"/>
                <w:b/>
                <w:color w:val="0066CC"/>
                <w:sz w:val="22"/>
              </w:rPr>
              <w:t>100%</w:t>
            </w:r>
          </w:p>
        </w:tc>
      </w:tr>
    </w:tbl>
    <w:p/>
    <w:p>
      <w:pPr>
        <w:pStyle w:val="Heading3"/>
      </w:pPr>
      <w:r>
        <w:t>Fonts de finançament proposades:</w:t>
      </w:r>
    </w:p>
    <w:tbl>
      <w:tblPr>
        <w:tblStyle w:val="MediumGrid1-Accent1"/>
        <w:tblW w:type="auto" w:w="0"/>
        <w:tblLook w:firstColumn="1" w:firstRow="1" w:lastColumn="0" w:lastRow="0" w:noHBand="0" w:noVBand="1" w:val="04A0"/>
      </w:tblPr>
      <w:tblGrid>
        <w:gridCol w:w="3324"/>
        <w:gridCol w:w="3324"/>
        <w:gridCol w:w="3324"/>
      </w:tblGrid>
      <w:tr>
        <w:tc>
          <w:tcPr>
            <w:tcW w:type="dxa" w:w="3324"/>
          </w:tcPr>
          <w:p>
            <w:r>
              <w:rPr>
                <w:rFonts w:ascii="Garamond" w:hAnsi="Garamond"/>
                <w:b/>
                <w:sz w:val="20"/>
              </w:rPr>
              <w:t>Font</w:t>
            </w:r>
          </w:p>
        </w:tc>
        <w:tc>
          <w:tcPr>
            <w:tcW w:type="dxa" w:w="3324"/>
          </w:tcPr>
          <w:p>
            <w:r>
              <w:rPr>
                <w:rFonts w:ascii="Garamond" w:hAnsi="Garamond"/>
                <w:b/>
                <w:sz w:val="20"/>
              </w:rPr>
              <w:t>Import Anual</w:t>
            </w:r>
          </w:p>
        </w:tc>
        <w:tc>
          <w:tcPr>
            <w:tcW w:type="dxa" w:w="3324"/>
          </w:tcPr>
          <w:p>
            <w:r>
              <w:rPr>
                <w:rFonts w:ascii="Garamond" w:hAnsi="Garamond"/>
                <w:b/>
                <w:sz w:val="20"/>
              </w:rPr>
              <w:t>% Total</w:t>
            </w:r>
          </w:p>
        </w:tc>
      </w:tr>
      <w:tr>
        <w:tc>
          <w:tcPr>
            <w:tcW w:type="dxa" w:w="3324"/>
          </w:tcPr>
          <w:p>
            <w:r>
              <w:rPr>
                <w:rFonts w:ascii="Garamond" w:hAnsi="Garamond"/>
                <w:sz w:val="20"/>
              </w:rPr>
              <w:t>Pressupost Municipal Esports</w:t>
            </w:r>
          </w:p>
        </w:tc>
        <w:tc>
          <w:tcPr>
            <w:tcW w:type="dxa" w:w="3324"/>
          </w:tcPr>
          <w:p>
            <w:r>
              <w:rPr>
                <w:rFonts w:ascii="Garamond" w:hAnsi="Garamond"/>
                <w:sz w:val="20"/>
              </w:rPr>
              <w:t>1.000.000€</w:t>
            </w:r>
          </w:p>
        </w:tc>
        <w:tc>
          <w:tcPr>
            <w:tcW w:type="dxa" w:w="3324"/>
          </w:tcPr>
          <w:p>
            <w:r>
              <w:rPr>
                <w:rFonts w:ascii="Garamond" w:hAnsi="Garamond"/>
                <w:sz w:val="20"/>
              </w:rPr>
              <w:t>58,8%</w:t>
            </w:r>
          </w:p>
        </w:tc>
      </w:tr>
      <w:tr>
        <w:tc>
          <w:tcPr>
            <w:tcW w:type="dxa" w:w="3324"/>
          </w:tcPr>
          <w:p>
            <w:r>
              <w:rPr>
                <w:rFonts w:ascii="Garamond" w:hAnsi="Garamond"/>
                <w:sz w:val="20"/>
              </w:rPr>
              <w:t>Diputació de Barcelona</w:t>
            </w:r>
          </w:p>
        </w:tc>
        <w:tc>
          <w:tcPr>
            <w:tcW w:type="dxa" w:w="3324"/>
          </w:tcPr>
          <w:p>
            <w:r>
              <w:rPr>
                <w:rFonts w:ascii="Garamond" w:hAnsi="Garamond"/>
                <w:sz w:val="20"/>
              </w:rPr>
              <w:t>300.000€</w:t>
            </w:r>
          </w:p>
        </w:tc>
        <w:tc>
          <w:tcPr>
            <w:tcW w:type="dxa" w:w="3324"/>
          </w:tcPr>
          <w:p>
            <w:r>
              <w:rPr>
                <w:rFonts w:ascii="Garamond" w:hAnsi="Garamond"/>
                <w:sz w:val="20"/>
              </w:rPr>
              <w:t>17,6%</w:t>
            </w:r>
          </w:p>
        </w:tc>
      </w:tr>
      <w:tr>
        <w:tc>
          <w:tcPr>
            <w:tcW w:type="dxa" w:w="3324"/>
          </w:tcPr>
          <w:p>
            <w:r>
              <w:rPr>
                <w:rFonts w:ascii="Garamond" w:hAnsi="Garamond"/>
                <w:sz w:val="20"/>
              </w:rPr>
              <w:t>Generalitat de Catalunya</w:t>
            </w:r>
          </w:p>
        </w:tc>
        <w:tc>
          <w:tcPr>
            <w:tcW w:type="dxa" w:w="3324"/>
          </w:tcPr>
          <w:p>
            <w:r>
              <w:rPr>
                <w:rFonts w:ascii="Garamond" w:hAnsi="Garamond"/>
                <w:sz w:val="20"/>
              </w:rPr>
              <w:t>250.000€</w:t>
            </w:r>
          </w:p>
        </w:tc>
        <w:tc>
          <w:tcPr>
            <w:tcW w:type="dxa" w:w="3324"/>
          </w:tcPr>
          <w:p>
            <w:r>
              <w:rPr>
                <w:rFonts w:ascii="Garamond" w:hAnsi="Garamond"/>
                <w:sz w:val="20"/>
              </w:rPr>
              <w:t>14,7%</w:t>
            </w:r>
          </w:p>
        </w:tc>
      </w:tr>
      <w:tr>
        <w:tc>
          <w:tcPr>
            <w:tcW w:type="dxa" w:w="3324"/>
          </w:tcPr>
          <w:p>
            <w:r>
              <w:rPr>
                <w:rFonts w:ascii="Garamond" w:hAnsi="Garamond"/>
                <w:sz w:val="20"/>
              </w:rPr>
              <w:t>Patrocinis privats</w:t>
            </w:r>
          </w:p>
        </w:tc>
        <w:tc>
          <w:tcPr>
            <w:tcW w:type="dxa" w:w="3324"/>
          </w:tcPr>
          <w:p>
            <w:r>
              <w:rPr>
                <w:rFonts w:ascii="Garamond" w:hAnsi="Garamond"/>
                <w:sz w:val="20"/>
              </w:rPr>
              <w:t>150.000€</w:t>
            </w:r>
          </w:p>
        </w:tc>
        <w:tc>
          <w:tcPr>
            <w:tcW w:type="dxa" w:w="3324"/>
          </w:tcPr>
          <w:p>
            <w:r>
              <w:rPr>
                <w:rFonts w:ascii="Garamond" w:hAnsi="Garamond"/>
                <w:sz w:val="20"/>
              </w:rPr>
              <w:t>8,8%</w:t>
            </w:r>
          </w:p>
        </w:tc>
      </w:tr>
    </w:tbl>
    <w:p/>
    <w:p>
      <w:r>
        <w:rPr>
          <w:b/>
        </w:rPr>
        <w:t xml:space="preserve">Nota important: </w:t>
      </w:r>
      <w:r>
        <w:t>Aquest pressupost representa una inversió del 0,06 per cent del pressupost total de l'Ajuntament de Barcelona (aproximadament 3.200 milions d'euros anuals). És una inversió modesta que pot generar un impacte desproporcionadament alt en cohesió social, igualtat de gènere, salut pública i projecció de ciutat.</w:t>
      </w:r>
    </w:p>
    <w:p>
      <w:r>
        <w:br w:type="page"/>
      </w:r>
    </w:p>
    <w:p>
      <w:pPr>
        <w:pStyle w:val="Heading1"/>
      </w:pPr>
      <w:r>
        <w:t>CONCLUSIONS FINALS I RECOMANACIONS</w:t>
      </w:r>
    </w:p>
    <w:p>
      <w:pPr>
        <w:pStyle w:val="Heading2"/>
      </w:pPr>
      <w:r>
        <w:t>Diagnòstic: Una Paradoxa Insostenible</w:t>
      </w:r>
    </w:p>
    <w:p>
      <w:r>
        <w:t>Barcelona ciutat es troba en una situació paradoxal que aquest informe ha documentat exhaustivament: disposa d'una base formativa robusta amb 362 equips i més de 4.500 esportistes, però aquesta capacitat no es tradueix en presència competitiva d'elit a les categories estatals. La taxa de conversió del 3,5 per cent en masculí i del 5,2 per cent en femení és extraordinàriament baixa i evidencia un buit sistèmic crític.</w:t>
      </w:r>
    </w:p>
    <w:p>
      <w:r>
        <w:t>El cas del CB Grup Barna simbolitza aquesta paradoxa de manera paradigmàtica: el club amb més base formativa de la ciutat lluita per no baixar de categoria en masculí mentre brilla en femení, invertint el model tradicional d'inversió i demostrant que els resultats no sempre responen a la quantitat de recursos, sinó a com s'utilitzen i a quines categories ofereixen més oportunitats reals de progrés.</w:t>
      </w:r>
    </w:p>
    <w:p>
      <w:pPr>
        <w:pStyle w:val="Heading2"/>
      </w:pPr>
      <w:r>
        <w:t>Cinc Veritats Incòmodes</w:t>
      </w:r>
    </w:p>
    <w:p>
      <w:r>
        <w:rPr>
          <w:b/>
          <w:sz w:val="24"/>
        </w:rPr>
        <w:t xml:space="preserve">1. </w:t>
      </w:r>
      <w:r>
        <w:rPr>
          <w:b/>
        </w:rPr>
        <w:t>Barcelona ciutat no està convertint base en competició.</w:t>
      </w:r>
      <w:r>
        <w:t xml:space="preserve"> Amb 202 equips masculins formatius i cap equip a Segunda FEB, o 134 equips femenins i cap equip a LF2, la ciutat està fallant en el seu objectiu de crear un pipeline competitiu sostenible.</w:t>
      </w:r>
    </w:p>
    <w:p/>
    <w:p>
      <w:r>
        <w:rPr>
          <w:b/>
          <w:sz w:val="24"/>
        </w:rPr>
        <w:t xml:space="preserve">2. </w:t>
      </w:r>
      <w:r>
        <w:rPr>
          <w:b/>
        </w:rPr>
        <w:t>El model tradicional d'inversió (més recursos a masculí) no funciona.</w:t>
      </w:r>
      <w:r>
        <w:t xml:space="preserve"> Els clubs que dediquen el 65-70 per cent del pressupost senior al masculí obtenen pitjors resultats competitius que els que inverteixen en femení. Això no és ideologia, són dades.</w:t>
      </w:r>
    </w:p>
    <w:p/>
    <w:p>
      <w:r>
        <w:rPr>
          <w:b/>
          <w:sz w:val="24"/>
        </w:rPr>
        <w:t xml:space="preserve">3. </w:t>
      </w:r>
      <w:r>
        <w:rPr>
          <w:b/>
        </w:rPr>
        <w:t>Ciutats molt més petites estan fent el que Barcelona no fa.</w:t>
      </w:r>
      <w:r>
        <w:t xml:space="preserve"> Girona, Manresa, La Seu d'Urgell o Lleida tenen equips estables a ACB i LF Endesa. Barcelona, amb 15 vegades més població i recursos, no ho aconsegueix. Això no és acceptable.</w:t>
      </w:r>
    </w:p>
    <w:p/>
    <w:p>
      <w:r>
        <w:rPr>
          <w:b/>
          <w:sz w:val="24"/>
        </w:rPr>
        <w:t xml:space="preserve">4. </w:t>
      </w:r>
      <w:r>
        <w:rPr>
          <w:b/>
        </w:rPr>
        <w:t>El suport institucional actual és clarament insuficient.</w:t>
      </w:r>
      <w:r>
        <w:t xml:space="preserve"> Subvencions de 5.000-8.000€ per club/any no permeten cap salt competitiu. Es necessita un canvi de magnitud, no incremental.</w:t>
      </w:r>
    </w:p>
    <w:p/>
    <w:p>
      <w:r>
        <w:rPr>
          <w:b/>
          <w:sz w:val="24"/>
        </w:rPr>
        <w:t xml:space="preserve">5. </w:t>
      </w:r>
      <w:r>
        <w:rPr>
          <w:b/>
        </w:rPr>
        <w:t>Sense acció decidida, la degradació serà progressiva.</w:t>
      </w:r>
      <w:r>
        <w:t xml:space="preserve"> Els millors jugadors i jugadores continuaran marxant, els referents locals desapareixeran i la captació de base baixarà. És un cercle viciós que només es reverteix amb inversió estratègica.</w:t>
      </w:r>
    </w:p>
    <w:p>
      <w:r>
        <w:br w:type="page"/>
      </w:r>
    </w:p>
    <w:p>
      <w:pPr>
        <w:pStyle w:val="Heading2"/>
      </w:pPr>
      <w:r>
        <w:t>Tres Recomanacions Prioritàries</w:t>
      </w:r>
    </w:p>
    <w:p>
      <w:r>
        <w:rPr>
          <w:b/>
          <w:color w:val="0066CC"/>
          <w:sz w:val="24"/>
        </w:rPr>
        <w:t>Recomanació 1: Aprovar el Pla Barcelona Competeix 2026-2030</w:t>
      </w:r>
    </w:p>
    <w:p>
      <w:r>
        <w:t>L'Ajuntament de Barcelona ha d'aprovar un pla estratègic amb pressupost vinculant de 1.700.000€ anuals durant 4 anys (total 6,8 milions d'euros) per crear les condicions infrastructurals, econòmiques i tècniques que permetin a clubs barcelonins competir a Segunda FEB i LF2. Aquest pla ha de tenir objectius quantificables, responsables designats i mecanismes de seguiment trimestral.</w:t>
      </w:r>
    </w:p>
    <w:p>
      <w:r>
        <w:rPr>
          <w:b/>
          <w:color w:val="0066CC"/>
          <w:sz w:val="24"/>
        </w:rPr>
        <w:t>Recomanació 2: Prioritzar el Bàsquet Femení com a Palanca Estratègica</w:t>
      </w:r>
    </w:p>
    <w:p>
      <w:r>
        <w:t>Les dades demostren que la inversió en femení genera millor retorn competitiu per euro invertit. L'Ajuntament ha de destinar almenys el 60 per cent del Fons Municipal Competitiu a projectes femenins, no per ideologia sinó per eficiència estratègica. A més, això enviarà un missatge potent sobre els valors de la ciutat i crearà referents per a milers de nenes i joves que practiquen bàsquet.</w:t>
      </w:r>
    </w:p>
    <w:p>
      <w:r>
        <w:rPr>
          <w:b/>
          <w:color w:val="0066CC"/>
          <w:sz w:val="24"/>
        </w:rPr>
        <w:t>Recomanació 3: Crear una Taula Permanent i un Protocol Vinculant</w:t>
      </w:r>
    </w:p>
    <w:p>
      <w:r>
        <w:t>Cal crear un òrgan de govern compartit entre Ajuntament, clubs, FCBQ i representants de jugadors/es per consensuar polítiques, assignar recursos i resoldre conflictes. Aquest òrgan ha d'elaborar un Protocol d'Ús d'Instal·lacions que garanteixi franges prioritàries per a projectes competitius verificats, amb criteris objectius i transparents que evitin discrecionalitat i arbitrarietat.</w:t>
      </w:r>
    </w:p>
    <w:p>
      <w:r>
        <w:br w:type="page"/>
      </w:r>
    </w:p>
    <w:p>
      <w:pPr>
        <w:pStyle w:val="Heading2"/>
      </w:pPr>
      <w:r>
        <w:t>Reflexió Final: Barcelona Mereix Més</w:t>
      </w:r>
    </w:p>
    <w:p>
      <w:r>
        <w:t>Barcelona és la capital de Catalunya, una ciutat amb 1,6 milions d'habitants, un pressupost municipal de més de 3.000 milions d'euros anuals, infraestructures esportives de primer nivell i una tradició associativa envejable. És inadmissible que una ciutat amb aquests recursos no tingui cap equip de bàsquet a Segunda FEB masculina ni a LF2 femenina, mentre municipis 15 vegades més petits sí que ho aconsegueixen.</w:t>
      </w:r>
    </w:p>
    <w:p>
      <w:r>
        <w:t>Aquest informe ha demostrat que el problema no és de capacitat, sinó de prioritats i de model. Barcelona té la base humana, té les instal·lacions, té els clubs i té el talent. El que no té és una aposta institucional clara, sostinguda i valenta per convertir aquesta base en competició d'elit.</w:t>
      </w:r>
    </w:p>
    <w:p>
      <w:r>
        <w:t xml:space="preserve">El Pla Barcelona Competeix proposat en aquest informe </w:t>
      </w:r>
      <w:r>
        <w:rPr>
          <w:b/>
        </w:rPr>
        <w:t>no és una despesa, és una inversió.</w:t>
      </w:r>
      <w:r>
        <w:t xml:space="preserve"> Una inversió en cohesió social, en salut pública, en igualtat de gènere, en oportunitats per a joves i en projecció de ciutat. Una inversió que, amb 1,7 milions d'euros anuals, pot revertir dècades de degradació i posicionar Barcelona on mereix estar: al capdavant del bàsquet català i estatal.</w:t>
      </w:r>
    </w:p>
    <w:p/>
    <w:p>
      <w:pPr>
        <w:jc w:val="center"/>
      </w:pPr>
      <w:r>
        <w:rPr>
          <w:b/>
          <w:sz w:val="28"/>
        </w:rPr>
        <w:t>És hora que Barcelona passi de ser espectadora a ser protagonista. És hora de Barcelona Competeix.</w:t>
      </w:r>
    </w:p>
    <w:p>
      <w:r>
        <w:br w:type="page"/>
      </w:r>
    </w:p>
    <w:p>
      <w:pPr>
        <w:spacing w:before="4000"/>
        <w:jc w:val="center"/>
      </w:pPr>
      <w:r>
        <w:rPr>
          <w:rFonts w:ascii="Garamond" w:hAnsi="Garamond"/>
          <w:i/>
          <w:sz w:val="22"/>
        </w:rPr>
        <w:t>Document elaborat per:</w:t>
      </w:r>
    </w:p>
    <w:p>
      <w:pPr>
        <w:jc w:val="center"/>
      </w:pPr>
      <w:r>
        <w:rPr>
          <w:rFonts w:ascii="Garamond" w:hAnsi="Garamond"/>
          <w:b/>
          <w:sz w:val="24"/>
        </w:rPr>
        <w:t>CB Grup Barna</w:t>
      </w:r>
    </w:p>
    <w:p>
      <w:pPr>
        <w:jc w:val="center"/>
      </w:pPr>
      <w:r>
        <w:rPr>
          <w:rFonts w:ascii="Garamond" w:hAnsi="Garamond"/>
          <w:i/>
          <w:sz w:val="20"/>
        </w:rPr>
        <w:t>En col·laboració amb l'anàlisi independent</w:t>
      </w:r>
    </w:p>
    <w:p>
      <w:pPr>
        <w:spacing w:before="960"/>
        <w:jc w:val="center"/>
      </w:pPr>
      <w:r>
        <w:rPr>
          <w:rFonts w:ascii="Garamond" w:hAnsi="Garamond"/>
          <w:sz w:val="22"/>
        </w:rPr>
        <w:t>Barcelona, Febrer 2026</w:t>
      </w:r>
    </w:p>
    <w:p>
      <w:pPr>
        <w:spacing w:before="640"/>
        <w:jc w:val="center"/>
      </w:pPr>
      <w:r>
        <w:rPr>
          <w:color w:val="CCCCCC"/>
        </w:rPr>
        <w:t>_______________________________________________</w:t>
      </w:r>
    </w:p>
    <w:p>
      <w:pPr>
        <w:spacing w:before="320"/>
        <w:jc w:val="center"/>
      </w:pPr>
      <w:r>
        <w:rPr>
          <w:rFonts w:ascii="Garamond" w:hAnsi="Garamond"/>
          <w:i/>
          <w:color w:val="808080"/>
          <w:sz w:val="18"/>
        </w:rPr>
        <w:t>Fonts: FCBQ, ACB, FEB, verificació directa clubs</w:t>
      </w:r>
    </w:p>
    <w:sectPr w:rsidR="00FC693F" w:rsidRPr="0006063C" w:rsidSect="00034616">
      <w:headerReference w:type="default" r:id="rId9"/>
      <w:footerReference w:type="default" r:id="rId10"/>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Garamond" w:hAnsi="Garamond"/>
        <w:sz w:val="20"/>
      </w:rPr>
      <w:t xml:space="preserve">Pàgina </w:t>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648000" cy="861191"/>
          <wp:docPr id="1" name="Picture 1"/>
          <wp:cNvGraphicFramePr>
            <a:graphicFrameLocks noChangeAspect="1"/>
          </wp:cNvGraphicFramePr>
          <a:graphic>
            <a:graphicData uri="http://schemas.openxmlformats.org/drawingml/2006/picture">
              <pic:pic>
                <pic:nvPicPr>
                  <pic:cNvPr id="0" name="logo_cbgrupbarna.jpeg"/>
                  <pic:cNvPicPr/>
                </pic:nvPicPr>
                <pic:blipFill>
                  <a:blip r:embed="rId1"/>
                  <a:stretch>
                    <a:fillRect/>
                  </a:stretch>
                </pic:blipFill>
                <pic:spPr>
                  <a:xfrm>
                    <a:off x="0" y="0"/>
                    <a:ext cx="648000" cy="861191"/>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aramond" w:hAnsi="Garamond"/>
      <w:b/>
      <w:bCs/>
      <w:color w:val="000000"/>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aramond" w:hAnsi="Garamond"/>
      <w:b/>
      <w:bCs/>
      <w:color w:val="1A1A1A"/>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aramond" w:hAnsi="Garamond"/>
      <w:b/>
      <w:bCs/>
      <w:i/>
      <w:color w:val="2A2A2A"/>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