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p>
    <w:p>
      <w:pPr>
        <w:spacing w:before="0" w:after="0"/>
      </w:pPr>
    </w:p>
    <w:p>
      <w:pPr>
        <w:spacing w:before="0" w:after="0"/>
      </w:pPr>
    </w:p>
    <w:p>
      <w:pPr>
        <w:spacing w:before="0" w:after="0"/>
      </w:pPr>
    </w:p>
    <w:p>
      <w:pPr>
        <w:spacing w:before="0" w:after="0"/>
      </w:pPr>
    </w:p>
    <w:p>
      <w:pPr>
        <w:spacing w:before="0" w:after="0"/>
      </w:pPr>
    </w:p>
    <w:p>
      <w:pPr>
        <w:jc w:val="center"/>
        <w:spacing w:before="0" w:after="80"/>
      </w:pPr>
      <w:r>
        <w:rPr>
          <w:rFonts w:ascii="Calibri" w:hAnsi="Calibri"/>
          <w:b w:val="0"/>
          <w:i w:val="0"/>
          <w:color w:val="C0392B"/>
          <w:sz w:val="22"/>
        </w:rPr>
        <w:t>INFORME D'ANÀLISI DE SITUACIÓ</w:t>
      </w:r>
    </w:p>
    <w:p>
      <w:pPr>
        <w:pBdr>
          <w:bottom w:val="single" w:sz="18" w:space="1" w:color="C0392B"/>
        </w:pBdr>
        <w:spacing w:before="0" w:after="200"/>
      </w:pPr>
    </w:p>
    <w:p>
      <w:pPr>
        <w:jc w:val="center"/>
        <w:spacing w:before="0" w:after="40"/>
      </w:pPr>
      <w:r>
        <w:rPr>
          <w:rFonts w:ascii="Calibri" w:hAnsi="Calibri"/>
          <w:b/>
          <w:i w:val="0"/>
          <w:color w:val="1A2E4A"/>
          <w:sz w:val="44"/>
        </w:rPr>
        <w:t>LA BRETXA DE GÈNERE EN EL BÀSQUET:</w:t>
      </w:r>
    </w:p>
    <w:p>
      <w:pPr>
        <w:jc w:val="center"/>
        <w:spacing w:before="0" w:after="20"/>
      </w:pPr>
      <w:r>
        <w:rPr>
          <w:rFonts w:ascii="Calibri" w:hAnsi="Calibri"/>
          <w:b/>
          <w:i w:val="0"/>
          <w:color w:val="1A2E4A"/>
          <w:sz w:val="34"/>
        </w:rPr>
        <w:t>DE LA PERSPECTIVA INTERNACIONAL</w:t>
      </w:r>
    </w:p>
    <w:p>
      <w:pPr>
        <w:jc w:val="center"/>
        <w:spacing w:before="0" w:after="140"/>
      </w:pPr>
      <w:r>
        <w:rPr>
          <w:rFonts w:ascii="Calibri" w:hAnsi="Calibri"/>
          <w:b/>
          <w:i w:val="0"/>
          <w:color w:val="1A2E4A"/>
          <w:sz w:val="34"/>
        </w:rPr>
        <w:t>AL DIAGNÒSTIC TERRITORIAL DE BARCELONA</w:t>
      </w:r>
    </w:p>
    <w:p>
      <w:pPr>
        <w:pBdr>
          <w:bottom w:val="single" w:sz="8" w:space="1" w:color="D4AF37"/>
        </w:pBdr>
        <w:spacing w:before="0" w:after="140"/>
      </w:pPr>
    </w:p>
    <w:p>
      <w:pPr>
        <w:jc w:val="center"/>
        <w:spacing w:before="0" w:after="280"/>
      </w:pPr>
      <w:r>
        <w:rPr>
          <w:rFonts w:ascii="Calibri" w:hAnsi="Calibri"/>
          <w:b w:val="0"/>
          <w:i/>
          <w:color w:val="555555"/>
          <w:sz w:val="22"/>
        </w:rPr>
        <w:t>Investigació integrada sobre participació, competició, formació tècnica, governança i models de gestió en el bàsquet femení</w:t>
      </w:r>
    </w:p>
    <w:p>
      <w:pPr>
        <w:jc w:val="center"/>
        <w:spacing w:before="0" w:after="360"/>
      </w:pPr>
      <w:r>
        <w:rPr>
          <w:rFonts w:ascii="Calibri" w:hAnsi="Calibri"/>
          <w:b/>
          <w:i w:val="0"/>
          <w:color w:val="1A2E4A"/>
          <w:sz w:val="22"/>
        </w:rPr>
        <w:t>Barcelona, Març de 2026</w:t>
      </w:r>
    </w:p>
    <w:tbl>
      <w:tblPr>
        <w:tblW w:type="auto" w:w="0"/>
        <w:jc w:val="center"/>
        <w:tblLook w:firstColumn="1" w:firstRow="1" w:lastColumn="0" w:lastRow="0" w:noHBand="0" w:noVBand="1" w:val="04A0"/>
      </w:tblPr>
      <w:tblGrid>
        <w:gridCol w:w="8788"/>
      </w:tblGrid>
      <w:tr>
        <w:tc>
          <w:tcPr>
            <w:tcW w:type="dxa" w:w="8788"/>
            <w:shd w:val="clear" w:color="auto" w:fill="F0F4FA"/>
            <w:tcBorders>
              <w:top w:val="single" w:sz="4" w:color="CCCCCC"/>
              <w:left w:val="single" w:sz="12" w:color="1A2E4A"/>
              <w:bottom w:val="single" w:sz="4" w:color="CCCCCC"/>
              <w:right w:val="single" w:sz="4" w:color="CCCCCC"/>
            </w:tcBorders>
          </w:tcPr>
          <w:p>
            <w:pPr>
              <w:spacing w:before="80" w:after="60"/>
            </w:pPr>
            <w:r>
              <w:rPr>
                <w:rFonts w:ascii="Calibri" w:hAnsi="Calibri"/>
                <w:b/>
                <w:i w:val="0"/>
                <w:color w:val="1A2E4A"/>
                <w:sz w:val="19"/>
              </w:rPr>
              <w:t>Document basat en la síntesi de tres investigacions independents:</w:t>
            </w:r>
          </w:p>
          <w:p>
            <w:pPr>
              <w:jc w:val="left"/>
              <w:ind w:left="200"/>
              <w:spacing w:before="20" w:after="20"/>
            </w:pPr>
            <w:r>
              <w:rPr>
                <w:rFonts w:ascii="Calibri" w:hAnsi="Calibri"/>
                <w:b w:val="0"/>
                <w:i/>
                <w:color w:val="333333"/>
                <w:sz w:val="19"/>
              </w:rPr>
              <w:t>• Informe Unificat: Radiografia del Bàsquet a Barcelona i Catalunya (2026)</w:t>
            </w:r>
          </w:p>
          <w:p>
            <w:pPr>
              <w:jc w:val="left"/>
              <w:ind w:left="200"/>
              <w:spacing w:before="20" w:after="20"/>
            </w:pPr>
            <w:r>
              <w:rPr>
                <w:rFonts w:ascii="Calibri" w:hAnsi="Calibri"/>
                <w:b w:val="0"/>
                <w:i/>
                <w:color w:val="333333"/>
                <w:sz w:val="19"/>
              </w:rPr>
              <w:t>• El Mètode Barna: Patrons Ocults, Teories Emergents i Transformació Estructural (Tesi Doctoral, UB-INEFC, 2026)</w:t>
            </w:r>
          </w:p>
          <w:p>
            <w:pPr>
              <w:jc w:val="left"/>
              <w:ind w:left="200"/>
              <w:spacing w:before="20" w:after="20"/>
            </w:pPr>
            <w:r>
              <w:rPr>
                <w:rFonts w:ascii="Calibri" w:hAnsi="Calibri"/>
                <w:b w:val="0"/>
                <w:i/>
                <w:color w:val="333333"/>
                <w:sz w:val="19"/>
              </w:rPr>
              <w:t>• La Bretxa de Gènere en el Bàsquet: Anàlisi Estructural de Macro a Micro (Recerca, 2026)</w:t>
            </w:r>
          </w:p>
          <w:p>
            <w:pPr>
              <w:spacing w:before="40" w:after="0"/>
            </w:pPr>
          </w:p>
        </w:tc>
      </w:tr>
    </w:tbl>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ÍNDEX</w:t>
      </w:r>
    </w:p>
    <w:p>
      <w:pPr>
        <w:tabs>
          <w:tab w:val="right" w:pos="8640" w:leader="dot"/>
        </w:tabs>
        <w:ind w:left="240"/>
        <w:spacing w:before="0" w:after="40"/>
      </w:pPr>
      <w:r>
        <w:rPr>
          <w:rFonts w:ascii="Calibri" w:hAnsi="Calibri"/>
          <w:b/>
          <w:color w:val="1A2E4A"/>
          <w:sz w:val="21"/>
        </w:rPr>
        <w:t>RESUM EXECUTIU</w:t>
      </w:r>
      <w:r>
        <w:rPr>
          <w:sz w:val="20"/>
        </w:rPr>
        <w:tab/>
      </w:r>
      <w:r>
        <w:rPr>
          <w:rFonts w:ascii="Calibri" w:hAnsi="Calibri"/>
          <w:b/>
          <w:color w:val="1A2E4A"/>
          <w:sz w:val="20"/>
        </w:rPr>
        <w:t>3</w:t>
      </w:r>
    </w:p>
    <w:p>
      <w:pPr>
        <w:tabs>
          <w:tab w:val="right" w:pos="8640" w:leader="dot"/>
        </w:tabs>
        <w:ind w:left="600" w:hanging="0"/>
        <w:spacing w:before="0" w:after="20"/>
      </w:pPr>
      <w:r>
        <w:rPr>
          <w:rFonts w:ascii="Calibri" w:hAnsi="Calibri"/>
          <w:b w:val="0"/>
          <w:color w:val="333333"/>
          <w:sz w:val="20"/>
        </w:rPr>
        <w:t>Indicadors clau de la investigació</w:t>
      </w:r>
      <w:r>
        <w:rPr>
          <w:sz w:val="20"/>
        </w:rPr>
        <w:tab/>
      </w:r>
      <w:r>
        <w:rPr>
          <w:rFonts w:ascii="Calibri" w:hAnsi="Calibri"/>
          <w:b w:val="0"/>
          <w:color w:val="333333"/>
          <w:sz w:val="20"/>
        </w:rPr>
        <w:t>3</w:t>
      </w:r>
    </w:p>
    <w:p>
      <w:pPr>
        <w:spacing w:before="0" w:after="40"/>
      </w:pPr>
    </w:p>
    <w:p>
      <w:pPr>
        <w:tabs>
          <w:tab w:val="right" w:pos="8640" w:leader="dot"/>
        </w:tabs>
        <w:ind w:left="240"/>
        <w:spacing w:before="0" w:after="40"/>
      </w:pPr>
      <w:r>
        <w:rPr>
          <w:rFonts w:ascii="Calibri" w:hAnsi="Calibri"/>
          <w:b/>
          <w:color w:val="1A2E4A"/>
          <w:sz w:val="21"/>
        </w:rPr>
        <w:t>PART I. CONTEXT INTERNACIONAL: LA BRETXA GLOBAL</w:t>
      </w:r>
      <w:r>
        <w:rPr>
          <w:sz w:val="20"/>
        </w:rPr>
        <w:tab/>
      </w:r>
      <w:r>
        <w:rPr>
          <w:rFonts w:ascii="Calibri" w:hAnsi="Calibri"/>
          <w:b/>
          <w:color w:val="1A2E4A"/>
          <w:sz w:val="20"/>
        </w:rPr>
        <w:t>4</w:t>
      </w:r>
    </w:p>
    <w:p>
      <w:pPr>
        <w:tabs>
          <w:tab w:val="right" w:pos="8640" w:leader="dot"/>
        </w:tabs>
        <w:ind w:left="600" w:hanging="0"/>
        <w:spacing w:before="0" w:after="20"/>
      </w:pPr>
      <w:r>
        <w:rPr>
          <w:rFonts w:ascii="Calibri" w:hAnsi="Calibri"/>
          <w:b w:val="0"/>
          <w:color w:val="333333"/>
          <w:sz w:val="20"/>
        </w:rPr>
        <w:t>1.1. L'abisme NBA-WNBA: dues realitats econòmiques</w:t>
      </w:r>
      <w:r>
        <w:rPr>
          <w:sz w:val="20"/>
        </w:rPr>
        <w:tab/>
      </w:r>
      <w:r>
        <w:rPr>
          <w:rFonts w:ascii="Calibri" w:hAnsi="Calibri"/>
          <w:b w:val="0"/>
          <w:color w:val="333333"/>
          <w:sz w:val="20"/>
        </w:rPr>
        <w:t>4</w:t>
      </w:r>
    </w:p>
    <w:p>
      <w:pPr>
        <w:tabs>
          <w:tab w:val="right" w:pos="8640" w:leader="dot"/>
        </w:tabs>
        <w:ind w:left="600" w:hanging="0"/>
        <w:spacing w:before="0" w:after="20"/>
      </w:pPr>
      <w:r>
        <w:rPr>
          <w:rFonts w:ascii="Calibri" w:hAnsi="Calibri"/>
          <w:b w:val="0"/>
          <w:color w:val="333333"/>
          <w:sz w:val="20"/>
        </w:rPr>
        <w:t>1.2. La WNBA com a indicador de tendència global</w:t>
      </w:r>
      <w:r>
        <w:rPr>
          <w:sz w:val="20"/>
        </w:rPr>
        <w:tab/>
      </w:r>
      <w:r>
        <w:rPr>
          <w:rFonts w:ascii="Calibri" w:hAnsi="Calibri"/>
          <w:b w:val="0"/>
          <w:color w:val="333333"/>
          <w:sz w:val="20"/>
        </w:rPr>
        <w:t>4</w:t>
      </w:r>
    </w:p>
    <w:p>
      <w:pPr>
        <w:tabs>
          <w:tab w:val="right" w:pos="8640" w:leader="dot"/>
        </w:tabs>
        <w:ind w:left="600" w:hanging="0"/>
        <w:spacing w:before="0" w:after="20"/>
      </w:pPr>
      <w:r>
        <w:rPr>
          <w:rFonts w:ascii="Calibri" w:hAnsi="Calibri"/>
          <w:b w:val="0"/>
          <w:color w:val="333333"/>
          <w:sz w:val="20"/>
        </w:rPr>
        <w:t>1.3. Europa: models de referència</w:t>
      </w:r>
      <w:r>
        <w:rPr>
          <w:sz w:val="20"/>
        </w:rPr>
        <w:tab/>
      </w:r>
      <w:r>
        <w:rPr>
          <w:rFonts w:ascii="Calibri" w:hAnsi="Calibri"/>
          <w:b w:val="0"/>
          <w:color w:val="333333"/>
          <w:sz w:val="20"/>
        </w:rPr>
        <w:t>4</w:t>
      </w:r>
    </w:p>
    <w:p>
      <w:pPr>
        <w:spacing w:before="0" w:after="40"/>
      </w:pPr>
    </w:p>
    <w:p>
      <w:pPr>
        <w:tabs>
          <w:tab w:val="right" w:pos="8640" w:leader="dot"/>
        </w:tabs>
        <w:ind w:left="240"/>
        <w:spacing w:before="0" w:after="40"/>
      </w:pPr>
      <w:r>
        <w:rPr>
          <w:rFonts w:ascii="Calibri" w:hAnsi="Calibri"/>
          <w:b/>
          <w:color w:val="1A2E4A"/>
          <w:sz w:val="21"/>
        </w:rPr>
        <w:t>PART II. ESPANYA: L'ECOSISTEMA ESTATAL</w:t>
      </w:r>
      <w:r>
        <w:rPr>
          <w:sz w:val="20"/>
        </w:rPr>
        <w:tab/>
      </w:r>
      <w:r>
        <w:rPr>
          <w:rFonts w:ascii="Calibri" w:hAnsi="Calibri"/>
          <w:b/>
          <w:color w:val="1A2E4A"/>
          <w:sz w:val="20"/>
        </w:rPr>
        <w:t>5</w:t>
      </w:r>
    </w:p>
    <w:p>
      <w:pPr>
        <w:tabs>
          <w:tab w:val="right" w:pos="8640" w:leader="dot"/>
        </w:tabs>
        <w:ind w:left="600" w:hanging="0"/>
        <w:spacing w:before="0" w:after="20"/>
      </w:pPr>
      <w:r>
        <w:rPr>
          <w:rFonts w:ascii="Calibri" w:hAnsi="Calibri"/>
          <w:b w:val="0"/>
          <w:color w:val="333333"/>
          <w:sz w:val="20"/>
        </w:rPr>
        <w:t>2.1. 440.427 llicències: creixement i contrasts</w:t>
      </w:r>
      <w:r>
        <w:rPr>
          <w:sz w:val="20"/>
        </w:rPr>
        <w:tab/>
      </w:r>
      <w:r>
        <w:rPr>
          <w:rFonts w:ascii="Calibri" w:hAnsi="Calibri"/>
          <w:b w:val="0"/>
          <w:color w:val="333333"/>
          <w:sz w:val="20"/>
        </w:rPr>
        <w:t>5</w:t>
      </w:r>
    </w:p>
    <w:p>
      <w:pPr>
        <w:tabs>
          <w:tab w:val="right" w:pos="8640" w:leader="dot"/>
        </w:tabs>
        <w:ind w:left="600" w:hanging="0"/>
        <w:spacing w:before="0" w:after="20"/>
      </w:pPr>
      <w:r>
        <w:rPr>
          <w:rFonts w:ascii="Calibri" w:hAnsi="Calibri"/>
          <w:b w:val="0"/>
          <w:color w:val="333333"/>
          <w:sz w:val="20"/>
        </w:rPr>
        <w:t>2.2. La piràmide competitiva femenina</w:t>
      </w:r>
      <w:r>
        <w:rPr>
          <w:sz w:val="20"/>
        </w:rPr>
        <w:tab/>
      </w:r>
      <w:r>
        <w:rPr>
          <w:rFonts w:ascii="Calibri" w:hAnsi="Calibri"/>
          <w:b w:val="0"/>
          <w:color w:val="333333"/>
          <w:sz w:val="20"/>
        </w:rPr>
        <w:t>5</w:t>
      </w:r>
    </w:p>
    <w:p>
      <w:pPr>
        <w:tabs>
          <w:tab w:val="right" w:pos="8640" w:leader="dot"/>
        </w:tabs>
        <w:ind w:left="600" w:hanging="0"/>
        <w:spacing w:before="0" w:after="20"/>
      </w:pPr>
      <w:r>
        <w:rPr>
          <w:rFonts w:ascii="Calibri" w:hAnsi="Calibri"/>
          <w:b w:val="0"/>
          <w:color w:val="333333"/>
          <w:sz w:val="20"/>
        </w:rPr>
        <w:t>2.3. L'embut de les entrenadores</w:t>
      </w:r>
      <w:r>
        <w:rPr>
          <w:sz w:val="20"/>
        </w:rPr>
        <w:tab/>
      </w:r>
      <w:r>
        <w:rPr>
          <w:rFonts w:ascii="Calibri" w:hAnsi="Calibri"/>
          <w:b w:val="0"/>
          <w:color w:val="333333"/>
          <w:sz w:val="20"/>
        </w:rPr>
        <w:t>5</w:t>
      </w:r>
    </w:p>
    <w:p>
      <w:pPr>
        <w:tabs>
          <w:tab w:val="right" w:pos="8640" w:leader="dot"/>
        </w:tabs>
        <w:ind w:left="600" w:hanging="0"/>
        <w:spacing w:before="0" w:after="20"/>
      </w:pPr>
      <w:r>
        <w:rPr>
          <w:rFonts w:ascii="Calibri" w:hAnsi="Calibri"/>
          <w:b w:val="0"/>
          <w:color w:val="333333"/>
          <w:sz w:val="20"/>
        </w:rPr>
        <w:t>2.4. L'abandonament femení: cinc mecanismes d'expulsió</w:t>
      </w:r>
      <w:r>
        <w:rPr>
          <w:sz w:val="20"/>
        </w:rPr>
        <w:tab/>
      </w:r>
      <w:r>
        <w:rPr>
          <w:rFonts w:ascii="Calibri" w:hAnsi="Calibri"/>
          <w:b w:val="0"/>
          <w:color w:val="333333"/>
          <w:sz w:val="20"/>
        </w:rPr>
        <w:t>5</w:t>
      </w:r>
    </w:p>
    <w:p>
      <w:pPr>
        <w:tabs>
          <w:tab w:val="right" w:pos="8640" w:leader="dot"/>
        </w:tabs>
        <w:ind w:left="600" w:hanging="0"/>
        <w:spacing w:before="0" w:after="20"/>
      </w:pPr>
      <w:r>
        <w:rPr>
          <w:rFonts w:ascii="Calibri" w:hAnsi="Calibri"/>
          <w:b w:val="0"/>
          <w:color w:val="333333"/>
          <w:sz w:val="20"/>
        </w:rPr>
        <w:t>2.5. El 8M en el bàsquet: de la simbòlica a l'estructural</w:t>
      </w:r>
      <w:r>
        <w:rPr>
          <w:sz w:val="20"/>
        </w:rPr>
        <w:tab/>
      </w:r>
      <w:r>
        <w:rPr>
          <w:rFonts w:ascii="Calibri" w:hAnsi="Calibri"/>
          <w:b w:val="0"/>
          <w:color w:val="333333"/>
          <w:sz w:val="20"/>
        </w:rPr>
        <w:t>6</w:t>
      </w:r>
    </w:p>
    <w:p>
      <w:pPr>
        <w:spacing w:before="0" w:after="40"/>
      </w:pPr>
    </w:p>
    <w:p>
      <w:pPr>
        <w:tabs>
          <w:tab w:val="right" w:pos="8640" w:leader="dot"/>
        </w:tabs>
        <w:ind w:left="240"/>
        <w:spacing w:before="0" w:after="40"/>
      </w:pPr>
      <w:r>
        <w:rPr>
          <w:rFonts w:ascii="Calibri" w:hAnsi="Calibri"/>
          <w:b/>
          <w:color w:val="1A2E4A"/>
          <w:sz w:val="21"/>
        </w:rPr>
        <w:t>PART III. CATALUNYA I BARCELONA: DIAGNÒSTIC TERRITORIAL</w:t>
      </w:r>
      <w:r>
        <w:rPr>
          <w:sz w:val="20"/>
        </w:rPr>
        <w:tab/>
      </w:r>
      <w:r>
        <w:rPr>
          <w:rFonts w:ascii="Calibri" w:hAnsi="Calibri"/>
          <w:b/>
          <w:color w:val="1A2E4A"/>
          <w:sz w:val="20"/>
        </w:rPr>
        <w:t>7</w:t>
      </w:r>
    </w:p>
    <w:p>
      <w:pPr>
        <w:tabs>
          <w:tab w:val="right" w:pos="8640" w:leader="dot"/>
        </w:tabs>
        <w:ind w:left="600" w:hanging="0"/>
        <w:spacing w:before="0" w:after="20"/>
      </w:pPr>
      <w:r>
        <w:rPr>
          <w:rFonts w:ascii="Calibri" w:hAnsi="Calibri"/>
          <w:b w:val="0"/>
          <w:color w:val="333333"/>
          <w:sz w:val="20"/>
        </w:rPr>
        <w:t>3.1. Catalunya: 87.198 llicències i un ecosistema desigual</w:t>
      </w:r>
      <w:r>
        <w:rPr>
          <w:sz w:val="20"/>
        </w:rPr>
        <w:tab/>
      </w:r>
      <w:r>
        <w:rPr>
          <w:rFonts w:ascii="Calibri" w:hAnsi="Calibri"/>
          <w:b w:val="0"/>
          <w:color w:val="333333"/>
          <w:sz w:val="20"/>
        </w:rPr>
        <w:t>7</w:t>
      </w:r>
    </w:p>
    <w:p>
      <w:pPr>
        <w:tabs>
          <w:tab w:val="right" w:pos="8640" w:leader="dot"/>
        </w:tabs>
        <w:ind w:left="600" w:hanging="0"/>
        <w:spacing w:before="0" w:after="20"/>
      </w:pPr>
      <w:r>
        <w:rPr>
          <w:rFonts w:ascii="Calibri" w:hAnsi="Calibri"/>
          <w:b w:val="0"/>
          <w:color w:val="333333"/>
          <w:sz w:val="20"/>
        </w:rPr>
        <w:t>3.2. Barcelona: l'anomalia d'una gran ciutat sense bàsquet femení estatal</w:t>
      </w:r>
      <w:r>
        <w:rPr>
          <w:sz w:val="20"/>
        </w:rPr>
        <w:tab/>
      </w:r>
      <w:r>
        <w:rPr>
          <w:rFonts w:ascii="Calibri" w:hAnsi="Calibri"/>
          <w:b w:val="0"/>
          <w:color w:val="333333"/>
          <w:sz w:val="20"/>
        </w:rPr>
        <w:t>7</w:t>
      </w:r>
    </w:p>
    <w:p>
      <w:pPr>
        <w:tabs>
          <w:tab w:val="right" w:pos="8640" w:leader="dot"/>
        </w:tabs>
        <w:ind w:left="600" w:hanging="0"/>
        <w:spacing w:before="0" w:after="20"/>
      </w:pPr>
      <w:r>
        <w:rPr>
          <w:rFonts w:ascii="Calibri" w:hAnsi="Calibri"/>
          <w:b w:val="0"/>
          <w:color w:val="333333"/>
          <w:sz w:val="20"/>
        </w:rPr>
        <w:t>3.3. El buit competitiu: de la base a l'èlit</w:t>
      </w:r>
      <w:r>
        <w:rPr>
          <w:sz w:val="20"/>
        </w:rPr>
        <w:tab/>
      </w:r>
      <w:r>
        <w:rPr>
          <w:rFonts w:ascii="Calibri" w:hAnsi="Calibri"/>
          <w:b w:val="0"/>
          <w:color w:val="333333"/>
          <w:sz w:val="20"/>
        </w:rPr>
        <w:t>7</w:t>
      </w:r>
    </w:p>
    <w:p>
      <w:pPr>
        <w:tabs>
          <w:tab w:val="right" w:pos="8640" w:leader="dot"/>
        </w:tabs>
        <w:ind w:left="600" w:hanging="0"/>
        <w:spacing w:before="0" w:after="20"/>
      </w:pPr>
      <w:r>
        <w:rPr>
          <w:rFonts w:ascii="Calibri" w:hAnsi="Calibri"/>
          <w:b w:val="0"/>
          <w:color w:val="333333"/>
          <w:sz w:val="20"/>
        </w:rPr>
        <w:t>3.4. Causes estructurals</w:t>
      </w:r>
      <w:r>
        <w:rPr>
          <w:sz w:val="20"/>
        </w:rPr>
        <w:tab/>
      </w:r>
      <w:r>
        <w:rPr>
          <w:rFonts w:ascii="Calibri" w:hAnsi="Calibri"/>
          <w:b w:val="0"/>
          <w:color w:val="333333"/>
          <w:sz w:val="20"/>
        </w:rPr>
        <w:t>8</w:t>
      </w:r>
    </w:p>
    <w:p>
      <w:pPr>
        <w:tabs>
          <w:tab w:val="right" w:pos="8640" w:leader="dot"/>
        </w:tabs>
        <w:ind w:left="600" w:hanging="0"/>
        <w:spacing w:before="0" w:after="20"/>
      </w:pPr>
      <w:r>
        <w:rPr>
          <w:rFonts w:ascii="Calibri" w:hAnsi="Calibri"/>
          <w:b w:val="0"/>
          <w:color w:val="333333"/>
          <w:sz w:val="20"/>
        </w:rPr>
        <w:t>3.5. El col·lapse dels models dependents</w:t>
      </w:r>
      <w:r>
        <w:rPr>
          <w:sz w:val="20"/>
        </w:rPr>
        <w:tab/>
      </w:r>
      <w:r>
        <w:rPr>
          <w:rFonts w:ascii="Calibri" w:hAnsi="Calibri"/>
          <w:b w:val="0"/>
          <w:color w:val="333333"/>
          <w:sz w:val="20"/>
        </w:rPr>
        <w:t>8</w:t>
      </w:r>
    </w:p>
    <w:p>
      <w:pPr>
        <w:spacing w:before="0" w:after="40"/>
      </w:pPr>
    </w:p>
    <w:p>
      <w:pPr>
        <w:tabs>
          <w:tab w:val="right" w:pos="8640" w:leader="dot"/>
        </w:tabs>
        <w:ind w:left="240"/>
        <w:spacing w:before="0" w:after="40"/>
      </w:pPr>
      <w:r>
        <w:rPr>
          <w:rFonts w:ascii="Calibri" w:hAnsi="Calibri"/>
          <w:b/>
          <w:color w:val="1A2E4A"/>
          <w:sz w:val="21"/>
        </w:rPr>
        <w:t>PART IV. LA PARADOXA DEL GÈNERE</w:t>
      </w:r>
      <w:r>
        <w:rPr>
          <w:sz w:val="20"/>
        </w:rPr>
        <w:tab/>
      </w:r>
      <w:r>
        <w:rPr>
          <w:rFonts w:ascii="Calibri" w:hAnsi="Calibri"/>
          <w:b/>
          <w:color w:val="1A2E4A"/>
          <w:sz w:val="20"/>
        </w:rPr>
        <w:t>9</w:t>
      </w:r>
    </w:p>
    <w:p>
      <w:pPr>
        <w:tabs>
          <w:tab w:val="right" w:pos="8640" w:leader="dot"/>
        </w:tabs>
        <w:ind w:left="600" w:hanging="0"/>
        <w:spacing w:before="0" w:after="20"/>
      </w:pPr>
      <w:r>
        <w:rPr>
          <w:rFonts w:ascii="Calibri" w:hAnsi="Calibri"/>
          <w:b w:val="0"/>
          <w:color w:val="333333"/>
          <w:sz w:val="20"/>
        </w:rPr>
        <w:t>4.1. Les dones competeixen millor però reben menys</w:t>
      </w:r>
      <w:r>
        <w:rPr>
          <w:sz w:val="20"/>
        </w:rPr>
        <w:tab/>
      </w:r>
      <w:r>
        <w:rPr>
          <w:rFonts w:ascii="Calibri" w:hAnsi="Calibri"/>
          <w:b w:val="0"/>
          <w:color w:val="333333"/>
          <w:sz w:val="20"/>
        </w:rPr>
        <w:t>9</w:t>
      </w:r>
    </w:p>
    <w:p>
      <w:pPr>
        <w:tabs>
          <w:tab w:val="right" w:pos="8640" w:leader="dot"/>
        </w:tabs>
        <w:ind w:left="600" w:hanging="0"/>
        <w:spacing w:before="0" w:after="20"/>
      </w:pPr>
      <w:r>
        <w:rPr>
          <w:rFonts w:ascii="Calibri" w:hAnsi="Calibri"/>
          <w:b w:val="0"/>
          <w:color w:val="333333"/>
          <w:sz w:val="20"/>
        </w:rPr>
        <w:t>4.2. La inversió va als homes</w:t>
      </w:r>
      <w:r>
        <w:rPr>
          <w:sz w:val="20"/>
        </w:rPr>
        <w:tab/>
      </w:r>
      <w:r>
        <w:rPr>
          <w:rFonts w:ascii="Calibri" w:hAnsi="Calibri"/>
          <w:b w:val="0"/>
          <w:color w:val="333333"/>
          <w:sz w:val="20"/>
        </w:rPr>
        <w:t>9</w:t>
      </w:r>
    </w:p>
    <w:p>
      <w:pPr>
        <w:tabs>
          <w:tab w:val="right" w:pos="8640" w:leader="dot"/>
        </w:tabs>
        <w:ind w:left="600" w:hanging="0"/>
        <w:spacing w:before="0" w:after="20"/>
      </w:pPr>
      <w:r>
        <w:rPr>
          <w:rFonts w:ascii="Calibri" w:hAnsi="Calibri"/>
          <w:b w:val="0"/>
          <w:color w:val="333333"/>
          <w:sz w:val="20"/>
        </w:rPr>
        <w:t>4.3. Governança: el 0% com a indicador absolut</w:t>
      </w:r>
      <w:r>
        <w:rPr>
          <w:sz w:val="20"/>
        </w:rPr>
        <w:tab/>
      </w:r>
      <w:r>
        <w:rPr>
          <w:rFonts w:ascii="Calibri" w:hAnsi="Calibri"/>
          <w:b w:val="0"/>
          <w:color w:val="333333"/>
          <w:sz w:val="20"/>
        </w:rPr>
        <w:t>9</w:t>
      </w:r>
    </w:p>
    <w:p>
      <w:pPr>
        <w:tabs>
          <w:tab w:val="right" w:pos="8640" w:leader="dot"/>
        </w:tabs>
        <w:ind w:left="600" w:hanging="0"/>
        <w:spacing w:before="0" w:after="20"/>
      </w:pPr>
      <w:r>
        <w:rPr>
          <w:rFonts w:ascii="Calibri" w:hAnsi="Calibri"/>
          <w:b w:val="0"/>
          <w:color w:val="333333"/>
          <w:sz w:val="20"/>
        </w:rPr>
        <w:t>4.4. Evidència quantitativa de la paradoxa</w:t>
      </w:r>
      <w:r>
        <w:rPr>
          <w:sz w:val="20"/>
        </w:rPr>
        <w:tab/>
      </w:r>
      <w:r>
        <w:rPr>
          <w:rFonts w:ascii="Calibri" w:hAnsi="Calibri"/>
          <w:b w:val="0"/>
          <w:color w:val="333333"/>
          <w:sz w:val="20"/>
        </w:rPr>
        <w:t>9</w:t>
      </w:r>
    </w:p>
    <w:p>
      <w:pPr>
        <w:spacing w:before="0" w:after="40"/>
      </w:pPr>
    </w:p>
    <w:p>
      <w:pPr>
        <w:tabs>
          <w:tab w:val="right" w:pos="8640" w:leader="dot"/>
        </w:tabs>
        <w:ind w:left="240"/>
        <w:spacing w:before="0" w:after="40"/>
      </w:pPr>
      <w:r>
        <w:rPr>
          <w:rFonts w:ascii="Calibri" w:hAnsi="Calibri"/>
          <w:b/>
          <w:color w:val="1A2E4A"/>
          <w:sz w:val="21"/>
        </w:rPr>
        <w:t>PART V. PATRONS OCULTS I TEORIES EMERGENTS</w:t>
      </w:r>
      <w:r>
        <w:rPr>
          <w:sz w:val="20"/>
        </w:rPr>
        <w:tab/>
      </w:r>
      <w:r>
        <w:rPr>
          <w:rFonts w:ascii="Calibri" w:hAnsi="Calibri"/>
          <w:b/>
          <w:color w:val="1A2E4A"/>
          <w:sz w:val="20"/>
        </w:rPr>
        <w:t>11</w:t>
      </w:r>
    </w:p>
    <w:p>
      <w:pPr>
        <w:tabs>
          <w:tab w:val="right" w:pos="8640" w:leader="dot"/>
        </w:tabs>
        <w:ind w:left="600" w:hanging="0"/>
        <w:spacing w:before="0" w:after="20"/>
      </w:pPr>
      <w:r>
        <w:rPr>
          <w:rFonts w:ascii="Calibri" w:hAnsi="Calibri"/>
          <w:b w:val="0"/>
          <w:color w:val="333333"/>
          <w:sz w:val="20"/>
        </w:rPr>
        <w:t>5.1. Teoria del Mercat Invisible</w:t>
      </w:r>
      <w:r>
        <w:rPr>
          <w:sz w:val="20"/>
        </w:rPr>
        <w:tab/>
      </w:r>
      <w:r>
        <w:rPr>
          <w:rFonts w:ascii="Calibri" w:hAnsi="Calibri"/>
          <w:b w:val="0"/>
          <w:color w:val="333333"/>
          <w:sz w:val="20"/>
        </w:rPr>
        <w:t>11</w:t>
      </w:r>
    </w:p>
    <w:p>
      <w:pPr>
        <w:tabs>
          <w:tab w:val="right" w:pos="8640" w:leader="dot"/>
        </w:tabs>
        <w:ind w:left="600" w:hanging="0"/>
        <w:spacing w:before="0" w:after="20"/>
      </w:pPr>
      <w:r>
        <w:rPr>
          <w:rFonts w:ascii="Calibri" w:hAnsi="Calibri"/>
          <w:b w:val="0"/>
          <w:color w:val="333333"/>
          <w:sz w:val="20"/>
        </w:rPr>
        <w:t>5.2. Teoria de l'Escala de Reconeixement</w:t>
      </w:r>
      <w:r>
        <w:rPr>
          <w:sz w:val="20"/>
        </w:rPr>
        <w:tab/>
      </w:r>
      <w:r>
        <w:rPr>
          <w:rFonts w:ascii="Calibri" w:hAnsi="Calibri"/>
          <w:b w:val="0"/>
          <w:color w:val="333333"/>
          <w:sz w:val="20"/>
        </w:rPr>
        <w:t>11</w:t>
      </w:r>
    </w:p>
    <w:p>
      <w:pPr>
        <w:tabs>
          <w:tab w:val="right" w:pos="8640" w:leader="dot"/>
        </w:tabs>
        <w:ind w:left="600" w:hanging="0"/>
        <w:spacing w:before="0" w:after="20"/>
      </w:pPr>
      <w:r>
        <w:rPr>
          <w:rFonts w:ascii="Calibri" w:hAnsi="Calibri"/>
          <w:b w:val="0"/>
          <w:color w:val="333333"/>
          <w:sz w:val="20"/>
        </w:rPr>
        <w:t>5.3. Teoria de la Irreversibilitat Cultural</w:t>
      </w:r>
      <w:r>
        <w:rPr>
          <w:sz w:val="20"/>
        </w:rPr>
        <w:tab/>
      </w:r>
      <w:r>
        <w:rPr>
          <w:rFonts w:ascii="Calibri" w:hAnsi="Calibri"/>
          <w:b w:val="0"/>
          <w:color w:val="333333"/>
          <w:sz w:val="20"/>
        </w:rPr>
        <w:t>11</w:t>
      </w:r>
    </w:p>
    <w:p>
      <w:pPr>
        <w:tabs>
          <w:tab w:val="right" w:pos="8640" w:leader="dot"/>
        </w:tabs>
        <w:ind w:left="600" w:hanging="0"/>
        <w:spacing w:before="0" w:after="20"/>
      </w:pPr>
      <w:r>
        <w:rPr>
          <w:rFonts w:ascii="Calibri" w:hAnsi="Calibri"/>
          <w:b w:val="0"/>
          <w:color w:val="333333"/>
          <w:sz w:val="20"/>
        </w:rPr>
        <w:t>5.4. Teoria del Desfasament Generacional</w:t>
      </w:r>
      <w:r>
        <w:rPr>
          <w:sz w:val="20"/>
        </w:rPr>
        <w:tab/>
      </w:r>
      <w:r>
        <w:rPr>
          <w:rFonts w:ascii="Calibri" w:hAnsi="Calibri"/>
          <w:b w:val="0"/>
          <w:color w:val="333333"/>
          <w:sz w:val="20"/>
        </w:rPr>
        <w:t>11</w:t>
      </w:r>
    </w:p>
    <w:p>
      <w:pPr>
        <w:tabs>
          <w:tab w:val="right" w:pos="8640" w:leader="dot"/>
        </w:tabs>
        <w:ind w:left="600" w:hanging="0"/>
        <w:spacing w:before="0" w:after="20"/>
      </w:pPr>
      <w:r>
        <w:rPr>
          <w:rFonts w:ascii="Calibri" w:hAnsi="Calibri"/>
          <w:b w:val="0"/>
          <w:color w:val="333333"/>
          <w:sz w:val="20"/>
        </w:rPr>
        <w:t>5.5. Teoria de l'Autenticitat Productiva</w:t>
      </w:r>
      <w:r>
        <w:rPr>
          <w:sz w:val="20"/>
        </w:rPr>
        <w:tab/>
      </w:r>
      <w:r>
        <w:rPr>
          <w:rFonts w:ascii="Calibri" w:hAnsi="Calibri"/>
          <w:b w:val="0"/>
          <w:color w:val="333333"/>
          <w:sz w:val="20"/>
        </w:rPr>
        <w:t>11</w:t>
      </w:r>
    </w:p>
    <w:p>
      <w:pPr>
        <w:tabs>
          <w:tab w:val="right" w:pos="8640" w:leader="dot"/>
        </w:tabs>
        <w:ind w:left="600" w:hanging="0"/>
        <w:spacing w:before="0" w:after="20"/>
      </w:pPr>
      <w:r>
        <w:rPr>
          <w:rFonts w:ascii="Calibri" w:hAnsi="Calibri"/>
          <w:b w:val="0"/>
          <w:color w:val="333333"/>
          <w:sz w:val="20"/>
        </w:rPr>
        <w:t>5.6. Altres patrons reveladors</w:t>
      </w:r>
      <w:r>
        <w:rPr>
          <w:sz w:val="20"/>
        </w:rPr>
        <w:tab/>
      </w:r>
      <w:r>
        <w:rPr>
          <w:rFonts w:ascii="Calibri" w:hAnsi="Calibri"/>
          <w:b w:val="0"/>
          <w:color w:val="333333"/>
          <w:sz w:val="20"/>
        </w:rPr>
        <w:t>12</w:t>
      </w:r>
    </w:p>
    <w:p>
      <w:pPr>
        <w:spacing w:before="0" w:after="40"/>
      </w:pPr>
    </w:p>
    <w:p>
      <w:pPr>
        <w:tabs>
          <w:tab w:val="right" w:pos="8640" w:leader="dot"/>
        </w:tabs>
        <w:ind w:left="240"/>
        <w:spacing w:before="0" w:after="40"/>
      </w:pPr>
      <w:r>
        <w:rPr>
          <w:rFonts w:ascii="Calibri" w:hAnsi="Calibri"/>
          <w:b/>
          <w:color w:val="1A2E4A"/>
          <w:sz w:val="21"/>
        </w:rPr>
        <w:t>PART VI. MODELS COMPARATS: MADRID, VALÈNCIA I TERRITORI CATALÀ</w:t>
      </w:r>
      <w:r>
        <w:rPr>
          <w:sz w:val="20"/>
        </w:rPr>
        <w:tab/>
      </w:r>
      <w:r>
        <w:rPr>
          <w:rFonts w:ascii="Calibri" w:hAnsi="Calibri"/>
          <w:b/>
          <w:color w:val="1A2E4A"/>
          <w:sz w:val="20"/>
        </w:rPr>
        <w:t>13</w:t>
      </w:r>
    </w:p>
    <w:p>
      <w:pPr>
        <w:tabs>
          <w:tab w:val="right" w:pos="8640" w:leader="dot"/>
        </w:tabs>
        <w:ind w:left="600" w:hanging="0"/>
        <w:spacing w:before="0" w:after="20"/>
      </w:pPr>
      <w:r>
        <w:rPr>
          <w:rFonts w:ascii="Calibri" w:hAnsi="Calibri"/>
          <w:b w:val="0"/>
          <w:color w:val="333333"/>
          <w:sz w:val="20"/>
        </w:rPr>
        <w:t>6.1. Madrid: profunditat sense paritat</w:t>
      </w:r>
      <w:r>
        <w:rPr>
          <w:sz w:val="20"/>
        </w:rPr>
        <w:tab/>
      </w:r>
      <w:r>
        <w:rPr>
          <w:rFonts w:ascii="Calibri" w:hAnsi="Calibri"/>
          <w:b w:val="0"/>
          <w:color w:val="333333"/>
          <w:sz w:val="20"/>
        </w:rPr>
        <w:t>13</w:t>
      </w:r>
    </w:p>
    <w:p>
      <w:pPr>
        <w:tabs>
          <w:tab w:val="right" w:pos="8640" w:leader="dot"/>
        </w:tabs>
        <w:ind w:left="600" w:hanging="0"/>
        <w:spacing w:before="0" w:after="20"/>
      </w:pPr>
      <w:r>
        <w:rPr>
          <w:rFonts w:ascii="Calibri" w:hAnsi="Calibri"/>
          <w:b w:val="0"/>
          <w:color w:val="333333"/>
          <w:sz w:val="20"/>
        </w:rPr>
        <w:t>6.2. València: integració vertical</w:t>
      </w:r>
      <w:r>
        <w:rPr>
          <w:sz w:val="20"/>
        </w:rPr>
        <w:tab/>
      </w:r>
      <w:r>
        <w:rPr>
          <w:rFonts w:ascii="Calibri" w:hAnsi="Calibri"/>
          <w:b w:val="0"/>
          <w:color w:val="333333"/>
          <w:sz w:val="20"/>
        </w:rPr>
        <w:t>13</w:t>
      </w:r>
    </w:p>
    <w:p>
      <w:pPr>
        <w:tabs>
          <w:tab w:val="right" w:pos="8640" w:leader="dot"/>
        </w:tabs>
        <w:ind w:left="600" w:hanging="0"/>
        <w:spacing w:before="0" w:after="20"/>
      </w:pPr>
      <w:r>
        <w:rPr>
          <w:rFonts w:ascii="Calibri" w:hAnsi="Calibri"/>
          <w:b w:val="0"/>
          <w:color w:val="333333"/>
          <w:sz w:val="20"/>
        </w:rPr>
        <w:t>6.3. Girona: èxit top-down</w:t>
      </w:r>
      <w:r>
        <w:rPr>
          <w:sz w:val="20"/>
        </w:rPr>
        <w:tab/>
      </w:r>
      <w:r>
        <w:rPr>
          <w:rFonts w:ascii="Calibri" w:hAnsi="Calibri"/>
          <w:b w:val="0"/>
          <w:color w:val="333333"/>
          <w:sz w:val="20"/>
        </w:rPr>
        <w:t>13</w:t>
      </w:r>
    </w:p>
    <w:p>
      <w:pPr>
        <w:tabs>
          <w:tab w:val="right" w:pos="8640" w:leader="dot"/>
        </w:tabs>
        <w:ind w:left="600" w:hanging="0"/>
        <w:spacing w:before="0" w:after="20"/>
      </w:pPr>
      <w:r>
        <w:rPr>
          <w:rFonts w:ascii="Calibri" w:hAnsi="Calibri"/>
          <w:b w:val="0"/>
          <w:color w:val="333333"/>
          <w:sz w:val="20"/>
        </w:rPr>
        <w:t>6.4. La Seu d'Urgell: identitat concentrada</w:t>
      </w:r>
      <w:r>
        <w:rPr>
          <w:sz w:val="20"/>
        </w:rPr>
        <w:tab/>
      </w:r>
      <w:r>
        <w:rPr>
          <w:rFonts w:ascii="Calibri" w:hAnsi="Calibri"/>
          <w:b w:val="0"/>
          <w:color w:val="333333"/>
          <w:sz w:val="20"/>
        </w:rPr>
        <w:t>13</w:t>
      </w:r>
    </w:p>
    <w:p>
      <w:pPr>
        <w:tabs>
          <w:tab w:val="right" w:pos="8640" w:leader="dot"/>
        </w:tabs>
        <w:ind w:left="600" w:hanging="0"/>
        <w:spacing w:before="0" w:after="20"/>
      </w:pPr>
      <w:r>
        <w:rPr>
          <w:rFonts w:ascii="Calibri" w:hAnsi="Calibri"/>
          <w:b w:val="0"/>
          <w:color w:val="333333"/>
          <w:sz w:val="20"/>
        </w:rPr>
        <w:t>6.5. Mataró: pol d'atracció metropolità</w:t>
      </w:r>
      <w:r>
        <w:rPr>
          <w:sz w:val="20"/>
        </w:rPr>
        <w:tab/>
      </w:r>
      <w:r>
        <w:rPr>
          <w:rFonts w:ascii="Calibri" w:hAnsi="Calibri"/>
          <w:b w:val="0"/>
          <w:color w:val="333333"/>
          <w:sz w:val="20"/>
        </w:rPr>
        <w:t>13</w:t>
      </w:r>
    </w:p>
    <w:p>
      <w:pPr>
        <w:tabs>
          <w:tab w:val="right" w:pos="8640" w:leader="dot"/>
        </w:tabs>
        <w:ind w:left="600" w:hanging="0"/>
        <w:spacing w:before="0" w:after="20"/>
      </w:pPr>
      <w:r>
        <w:rPr>
          <w:rFonts w:ascii="Calibri" w:hAnsi="Calibri"/>
          <w:b w:val="0"/>
          <w:color w:val="333333"/>
          <w:sz w:val="20"/>
        </w:rPr>
        <w:t>6.6. Comparativa de taxes de conversió</w:t>
      </w:r>
      <w:r>
        <w:rPr>
          <w:sz w:val="20"/>
        </w:rPr>
        <w:tab/>
      </w:r>
      <w:r>
        <w:rPr>
          <w:rFonts w:ascii="Calibri" w:hAnsi="Calibri"/>
          <w:b w:val="0"/>
          <w:color w:val="333333"/>
          <w:sz w:val="20"/>
        </w:rPr>
        <w:t>14</w:t>
      </w:r>
    </w:p>
    <w:p>
      <w:pPr>
        <w:spacing w:before="0" w:after="40"/>
      </w:pPr>
    </w:p>
    <w:p>
      <w:pPr>
        <w:tabs>
          <w:tab w:val="right" w:pos="8640" w:leader="dot"/>
        </w:tabs>
        <w:ind w:left="240"/>
        <w:spacing w:before="0" w:after="40"/>
      </w:pPr>
      <w:r>
        <w:rPr>
          <w:rFonts w:ascii="Calibri" w:hAnsi="Calibri"/>
          <w:b/>
          <w:color w:val="1A2E4A"/>
          <w:sz w:val="21"/>
        </w:rPr>
        <w:t>PART VII. PROPOSTES D'ACTUACIÓ: PLA "BARCELONA, CAPITAL DEL BÀSQUET"</w:t>
      </w:r>
      <w:r>
        <w:rPr>
          <w:sz w:val="20"/>
        </w:rPr>
        <w:tab/>
      </w:r>
      <w:r>
        <w:rPr>
          <w:rFonts w:ascii="Calibri" w:hAnsi="Calibri"/>
          <w:b/>
          <w:color w:val="1A2E4A"/>
          <w:sz w:val="20"/>
        </w:rPr>
        <w:t>15</w:t>
      </w:r>
    </w:p>
    <w:p>
      <w:pPr>
        <w:tabs>
          <w:tab w:val="right" w:pos="8640" w:leader="dot"/>
        </w:tabs>
        <w:ind w:left="600" w:hanging="0"/>
        <w:spacing w:before="0" w:after="20"/>
      </w:pPr>
      <w:r>
        <w:rPr>
          <w:rFonts w:ascii="Calibri" w:hAnsi="Calibri"/>
          <w:b w:val="0"/>
          <w:color w:val="333333"/>
          <w:sz w:val="20"/>
        </w:rPr>
        <w:t>7.1. Eix 1: Infraestructures i accés prioritari</w:t>
      </w:r>
      <w:r>
        <w:rPr>
          <w:sz w:val="20"/>
        </w:rPr>
        <w:tab/>
      </w:r>
      <w:r>
        <w:rPr>
          <w:rFonts w:ascii="Calibri" w:hAnsi="Calibri"/>
          <w:b w:val="0"/>
          <w:color w:val="333333"/>
          <w:sz w:val="20"/>
        </w:rPr>
        <w:t>15</w:t>
      </w:r>
    </w:p>
    <w:p>
      <w:pPr>
        <w:tabs>
          <w:tab w:val="right" w:pos="8640" w:leader="dot"/>
        </w:tabs>
        <w:ind w:left="600" w:hanging="0"/>
        <w:spacing w:before="0" w:after="20"/>
      </w:pPr>
      <w:r>
        <w:rPr>
          <w:rFonts w:ascii="Calibri" w:hAnsi="Calibri"/>
          <w:b w:val="0"/>
          <w:color w:val="333333"/>
          <w:sz w:val="20"/>
        </w:rPr>
        <w:t>7.2. Eix 2: Finançament directe a clubs</w:t>
      </w:r>
      <w:r>
        <w:rPr>
          <w:sz w:val="20"/>
        </w:rPr>
        <w:tab/>
      </w:r>
      <w:r>
        <w:rPr>
          <w:rFonts w:ascii="Calibri" w:hAnsi="Calibri"/>
          <w:b w:val="0"/>
          <w:color w:val="333333"/>
          <w:sz w:val="20"/>
        </w:rPr>
        <w:t>15</w:t>
      </w:r>
    </w:p>
    <w:p>
      <w:pPr>
        <w:tabs>
          <w:tab w:val="right" w:pos="8640" w:leader="dot"/>
        </w:tabs>
        <w:ind w:left="600" w:hanging="0"/>
        <w:spacing w:before="0" w:after="20"/>
      </w:pPr>
      <w:r>
        <w:rPr>
          <w:rFonts w:ascii="Calibri" w:hAnsi="Calibri"/>
          <w:b w:val="0"/>
          <w:color w:val="333333"/>
          <w:sz w:val="20"/>
        </w:rPr>
        <w:t>7.3. Eix 3: Esdeveniments i visibilitat</w:t>
      </w:r>
      <w:r>
        <w:rPr>
          <w:sz w:val="20"/>
        </w:rPr>
        <w:tab/>
      </w:r>
      <w:r>
        <w:rPr>
          <w:rFonts w:ascii="Calibri" w:hAnsi="Calibri"/>
          <w:b w:val="0"/>
          <w:color w:val="333333"/>
          <w:sz w:val="20"/>
        </w:rPr>
        <w:t>15</w:t>
      </w:r>
    </w:p>
    <w:p>
      <w:pPr>
        <w:tabs>
          <w:tab w:val="right" w:pos="8640" w:leader="dot"/>
        </w:tabs>
        <w:ind w:left="600" w:hanging="0"/>
        <w:spacing w:before="0" w:after="20"/>
      </w:pPr>
      <w:r>
        <w:rPr>
          <w:rFonts w:ascii="Calibri" w:hAnsi="Calibri"/>
          <w:b w:val="0"/>
          <w:color w:val="333333"/>
          <w:sz w:val="20"/>
        </w:rPr>
        <w:t>7.4. Eix 4: Tecnificació i formació</w:t>
      </w:r>
      <w:r>
        <w:rPr>
          <w:sz w:val="20"/>
        </w:rPr>
        <w:tab/>
      </w:r>
      <w:r>
        <w:rPr>
          <w:rFonts w:ascii="Calibri" w:hAnsi="Calibri"/>
          <w:b w:val="0"/>
          <w:color w:val="333333"/>
          <w:sz w:val="20"/>
        </w:rPr>
        <w:t>15</w:t>
      </w:r>
    </w:p>
    <w:p>
      <w:pPr>
        <w:tabs>
          <w:tab w:val="right" w:pos="8640" w:leader="dot"/>
        </w:tabs>
        <w:ind w:left="600" w:hanging="0"/>
        <w:spacing w:before="0" w:after="20"/>
      </w:pPr>
      <w:r>
        <w:rPr>
          <w:rFonts w:ascii="Calibri" w:hAnsi="Calibri"/>
          <w:b w:val="0"/>
          <w:color w:val="333333"/>
          <w:sz w:val="20"/>
        </w:rPr>
        <w:t>7.5. Eix 5: Comunicació i retransmissions</w:t>
      </w:r>
      <w:r>
        <w:rPr>
          <w:sz w:val="20"/>
        </w:rPr>
        <w:tab/>
      </w:r>
      <w:r>
        <w:rPr>
          <w:rFonts w:ascii="Calibri" w:hAnsi="Calibri"/>
          <w:b w:val="0"/>
          <w:color w:val="333333"/>
          <w:sz w:val="20"/>
        </w:rPr>
        <w:t>15</w:t>
      </w:r>
    </w:p>
    <w:p>
      <w:pPr>
        <w:tabs>
          <w:tab w:val="right" w:pos="8640" w:leader="dot"/>
        </w:tabs>
        <w:ind w:left="600" w:hanging="0"/>
        <w:spacing w:before="0" w:after="20"/>
      </w:pPr>
      <w:r>
        <w:rPr>
          <w:rFonts w:ascii="Calibri" w:hAnsi="Calibri"/>
          <w:b w:val="0"/>
          <w:color w:val="333333"/>
          <w:sz w:val="20"/>
        </w:rPr>
        <w:t>7.6. Indicadors de seguiment (KPI)</w:t>
      </w:r>
      <w:r>
        <w:rPr>
          <w:sz w:val="20"/>
        </w:rPr>
        <w:tab/>
      </w:r>
      <w:r>
        <w:rPr>
          <w:rFonts w:ascii="Calibri" w:hAnsi="Calibri"/>
          <w:b w:val="0"/>
          <w:color w:val="333333"/>
          <w:sz w:val="20"/>
        </w:rPr>
        <w:t>16</w:t>
      </w:r>
    </w:p>
    <w:p>
      <w:pPr>
        <w:tabs>
          <w:tab w:val="right" w:pos="8640" w:leader="dot"/>
        </w:tabs>
        <w:ind w:left="600" w:hanging="0"/>
        <w:spacing w:before="0" w:after="20"/>
      </w:pPr>
      <w:r>
        <w:rPr>
          <w:rFonts w:ascii="Calibri" w:hAnsi="Calibri"/>
          <w:b w:val="0"/>
          <w:color w:val="333333"/>
          <w:sz w:val="20"/>
        </w:rPr>
        <w:t>7.7. Recomanacions per a polítiques d'igualtat</w:t>
      </w:r>
      <w:r>
        <w:rPr>
          <w:sz w:val="20"/>
        </w:rPr>
        <w:tab/>
      </w:r>
      <w:r>
        <w:rPr>
          <w:rFonts w:ascii="Calibri" w:hAnsi="Calibri"/>
          <w:b w:val="0"/>
          <w:color w:val="333333"/>
          <w:sz w:val="20"/>
        </w:rPr>
        <w:t>16</w:t>
      </w:r>
    </w:p>
    <w:p>
      <w:pPr>
        <w:tabs>
          <w:tab w:val="right" w:pos="8640" w:leader="dot"/>
        </w:tabs>
        <w:ind w:left="600" w:hanging="0"/>
        <w:spacing w:before="0" w:after="20"/>
      </w:pPr>
      <w:r>
        <w:rPr>
          <w:rFonts w:ascii="Calibri" w:hAnsi="Calibri"/>
          <w:b w:val="0"/>
          <w:color w:val="333333"/>
          <w:sz w:val="20"/>
        </w:rPr>
        <w:t>7.8. Recomanacions per a clubs</w:t>
      </w:r>
      <w:r>
        <w:rPr>
          <w:sz w:val="20"/>
        </w:rPr>
        <w:tab/>
      </w:r>
      <w:r>
        <w:rPr>
          <w:rFonts w:ascii="Calibri" w:hAnsi="Calibri"/>
          <w:b w:val="0"/>
          <w:color w:val="333333"/>
          <w:sz w:val="20"/>
        </w:rPr>
        <w:t>16</w:t>
      </w:r>
    </w:p>
    <w:p>
      <w:pPr>
        <w:spacing w:before="0" w:after="40"/>
      </w:pPr>
    </w:p>
    <w:p>
      <w:pPr>
        <w:tabs>
          <w:tab w:val="right" w:pos="8640" w:leader="dot"/>
        </w:tabs>
        <w:ind w:left="240"/>
        <w:spacing w:before="0" w:after="40"/>
      </w:pPr>
      <w:r>
        <w:rPr>
          <w:rFonts w:ascii="Calibri" w:hAnsi="Calibri"/>
          <w:b/>
          <w:color w:val="1A2E4A"/>
          <w:sz w:val="21"/>
        </w:rPr>
        <w:t>CONCLUSIONS I PERSPECTIVES DE FUTUR</w:t>
      </w:r>
      <w:r>
        <w:rPr>
          <w:sz w:val="20"/>
        </w:rPr>
        <w:tab/>
      </w:r>
      <w:r>
        <w:rPr>
          <w:rFonts w:ascii="Calibri" w:hAnsi="Calibri"/>
          <w:b/>
          <w:color w:val="1A2E4A"/>
          <w:sz w:val="20"/>
        </w:rPr>
        <w:t>17</w:t>
      </w:r>
    </w:p>
    <w:p>
      <w:pPr>
        <w:spacing w:before="0" w:after="40"/>
      </w:pPr>
    </w:p>
    <w:p>
      <w:pPr>
        <w:tabs>
          <w:tab w:val="right" w:pos="8640" w:leader="dot"/>
        </w:tabs>
        <w:ind w:left="240"/>
        <w:spacing w:before="0" w:after="40"/>
      </w:pPr>
      <w:r>
        <w:rPr>
          <w:rFonts w:ascii="Calibri" w:hAnsi="Calibri"/>
          <w:b/>
          <w:color w:val="1A2E4A"/>
          <w:sz w:val="21"/>
        </w:rPr>
        <w:t>BIBLIOGRAFIA</w:t>
      </w:r>
      <w:r>
        <w:rPr>
          <w:sz w:val="20"/>
        </w:rPr>
        <w:tab/>
      </w:r>
      <w:r>
        <w:rPr>
          <w:rFonts w:ascii="Calibri" w:hAnsi="Calibri"/>
          <w:b/>
          <w:color w:val="1A2E4A"/>
          <w:sz w:val="20"/>
        </w:rPr>
        <w:t>19</w:t>
      </w:r>
    </w:p>
    <w:p>
      <w:pPr>
        <w:spacing w:before="0" w:after="40"/>
      </w:pPr>
    </w:p>
    <w:p>
      <w:pPr>
        <w:tabs>
          <w:tab w:val="right" w:pos="8640" w:leader="dot"/>
        </w:tabs>
        <w:ind w:left="240"/>
        <w:spacing w:before="0" w:after="40"/>
      </w:pPr>
      <w:r>
        <w:rPr>
          <w:rFonts w:ascii="Calibri" w:hAnsi="Calibri"/>
          <w:b/>
          <w:color w:val="1A2E4A"/>
          <w:sz w:val="21"/>
        </w:rPr>
        <w:t>ANNEX. CB GRUP BARNA: EL MÈTODE BARNA</w:t>
      </w:r>
      <w:r>
        <w:rPr>
          <w:sz w:val="20"/>
        </w:rPr>
        <w:tab/>
      </w:r>
      <w:r>
        <w:rPr>
          <w:rFonts w:ascii="Calibri" w:hAnsi="Calibri"/>
          <w:b/>
          <w:color w:val="1A2E4A"/>
          <w:sz w:val="20"/>
        </w:rPr>
        <w:t>21</w:t>
      </w:r>
    </w:p>
    <w:p>
      <w:pPr>
        <w:tabs>
          <w:tab w:val="right" w:pos="8640" w:leader="dot"/>
        </w:tabs>
        <w:ind w:left="600" w:hanging="0"/>
        <w:spacing w:before="0" w:after="20"/>
      </w:pPr>
      <w:r>
        <w:rPr>
          <w:rFonts w:ascii="Calibri" w:hAnsi="Calibri"/>
          <w:b w:val="0"/>
          <w:color w:val="333333"/>
          <w:sz w:val="20"/>
        </w:rPr>
        <w:t>A.1. Perfil del club</w:t>
      </w:r>
      <w:r>
        <w:rPr>
          <w:sz w:val="20"/>
        </w:rPr>
        <w:tab/>
      </w:r>
      <w:r>
        <w:rPr>
          <w:rFonts w:ascii="Calibri" w:hAnsi="Calibri"/>
          <w:b w:val="0"/>
          <w:color w:val="333333"/>
          <w:sz w:val="20"/>
        </w:rPr>
        <w:t>21</w:t>
      </w:r>
    </w:p>
    <w:p>
      <w:pPr>
        <w:tabs>
          <w:tab w:val="right" w:pos="8640" w:leader="dot"/>
        </w:tabs>
        <w:ind w:left="600" w:hanging="0"/>
        <w:spacing w:before="0" w:after="20"/>
      </w:pPr>
      <w:r>
        <w:rPr>
          <w:rFonts w:ascii="Calibri" w:hAnsi="Calibri"/>
          <w:b w:val="0"/>
          <w:color w:val="333333"/>
          <w:sz w:val="20"/>
        </w:rPr>
        <w:t>A.2. El Mètode Barna: tres pilars</w:t>
      </w:r>
      <w:r>
        <w:rPr>
          <w:sz w:val="20"/>
        </w:rPr>
        <w:tab/>
      </w:r>
      <w:r>
        <w:rPr>
          <w:rFonts w:ascii="Calibri" w:hAnsi="Calibri"/>
          <w:b w:val="0"/>
          <w:color w:val="333333"/>
          <w:sz w:val="20"/>
        </w:rPr>
        <w:t>21</w:t>
      </w:r>
    </w:p>
    <w:p>
      <w:pPr>
        <w:tabs>
          <w:tab w:val="right" w:pos="8640" w:leader="dot"/>
        </w:tabs>
        <w:ind w:left="600" w:hanging="0"/>
        <w:spacing w:before="0" w:after="20"/>
      </w:pPr>
      <w:r>
        <w:rPr>
          <w:rFonts w:ascii="Calibri" w:hAnsi="Calibri"/>
          <w:b w:val="0"/>
          <w:color w:val="333333"/>
          <w:sz w:val="20"/>
        </w:rPr>
        <w:t>A.3. Les 38 entrenadores: anatomia del talent invisible</w:t>
      </w:r>
      <w:r>
        <w:rPr>
          <w:sz w:val="20"/>
        </w:rPr>
        <w:tab/>
      </w:r>
      <w:r>
        <w:rPr>
          <w:rFonts w:ascii="Calibri" w:hAnsi="Calibri"/>
          <w:b w:val="0"/>
          <w:color w:val="333333"/>
          <w:sz w:val="20"/>
        </w:rPr>
        <w:t>22</w:t>
      </w:r>
    </w:p>
    <w:p>
      <w:pPr>
        <w:tabs>
          <w:tab w:val="right" w:pos="8640" w:leader="dot"/>
        </w:tabs>
        <w:ind w:left="600" w:hanging="0"/>
        <w:spacing w:before="0" w:after="20"/>
      </w:pPr>
      <w:r>
        <w:rPr>
          <w:rFonts w:ascii="Calibri" w:hAnsi="Calibri"/>
          <w:b w:val="0"/>
          <w:color w:val="333333"/>
          <w:sz w:val="20"/>
        </w:rPr>
        <w:t>A.4. Situació competitiva actual (temporada 2025-26)</w:t>
      </w:r>
      <w:r>
        <w:rPr>
          <w:sz w:val="20"/>
        </w:rPr>
        <w:tab/>
      </w:r>
      <w:r>
        <w:rPr>
          <w:rFonts w:ascii="Calibri" w:hAnsi="Calibri"/>
          <w:b w:val="0"/>
          <w:color w:val="333333"/>
          <w:sz w:val="20"/>
        </w:rPr>
        <w:t>22</w:t>
      </w:r>
    </w:p>
    <w:p>
      <w:pPr>
        <w:tabs>
          <w:tab w:val="right" w:pos="8640" w:leader="dot"/>
        </w:tabs>
        <w:ind w:left="600" w:hanging="0"/>
        <w:spacing w:before="0" w:after="20"/>
      </w:pPr>
      <w:r>
        <w:rPr>
          <w:rFonts w:ascii="Calibri" w:hAnsi="Calibri"/>
          <w:b w:val="0"/>
          <w:color w:val="333333"/>
          <w:sz w:val="20"/>
        </w:rPr>
        <w:t>A.5. Via d'accés a LF2</w:t>
      </w:r>
      <w:r>
        <w:rPr>
          <w:sz w:val="20"/>
        </w:rPr>
        <w:tab/>
      </w:r>
      <w:r>
        <w:rPr>
          <w:rFonts w:ascii="Calibri" w:hAnsi="Calibri"/>
          <w:b w:val="0"/>
          <w:color w:val="333333"/>
          <w:sz w:val="20"/>
        </w:rPr>
        <w:t>22</w:t>
      </w:r>
    </w:p>
    <w:p>
      <w:pPr>
        <w:tabs>
          <w:tab w:val="right" w:pos="8640" w:leader="dot"/>
        </w:tabs>
        <w:ind w:left="600" w:hanging="0"/>
        <w:spacing w:before="0" w:after="20"/>
      </w:pPr>
      <w:r>
        <w:rPr>
          <w:rFonts w:ascii="Calibri" w:hAnsi="Calibri"/>
          <w:b w:val="0"/>
          <w:color w:val="333333"/>
          <w:sz w:val="20"/>
        </w:rPr>
        <w:t>A.6. Escenari 2026-27</w:t>
      </w:r>
      <w:r>
        <w:rPr>
          <w:sz w:val="20"/>
        </w:rPr>
        <w:tab/>
      </w:r>
      <w:r>
        <w:rPr>
          <w:rFonts w:ascii="Calibri" w:hAnsi="Calibri"/>
          <w:b w:val="0"/>
          <w:color w:val="333333"/>
          <w:sz w:val="20"/>
        </w:rPr>
        <w:t>22</w:t>
      </w:r>
    </w:p>
    <w:p>
      <w:pPr>
        <w:tabs>
          <w:tab w:val="right" w:pos="8640" w:leader="dot"/>
        </w:tabs>
        <w:ind w:left="600" w:hanging="0"/>
        <w:spacing w:before="0" w:after="20"/>
      </w:pPr>
      <w:r>
        <w:rPr>
          <w:rFonts w:ascii="Calibri" w:hAnsi="Calibri"/>
          <w:b w:val="0"/>
          <w:color w:val="333333"/>
          <w:sz w:val="20"/>
        </w:rPr>
        <w:t>A.7. El 3x3 Westfield Glòries</w:t>
      </w:r>
      <w:r>
        <w:rPr>
          <w:sz w:val="20"/>
        </w:rPr>
        <w:tab/>
      </w:r>
      <w:r>
        <w:rPr>
          <w:rFonts w:ascii="Calibri" w:hAnsi="Calibri"/>
          <w:b w:val="0"/>
          <w:color w:val="333333"/>
          <w:sz w:val="20"/>
        </w:rPr>
        <w:t>22</w:t>
      </w:r>
    </w:p>
    <w:p>
      <w:pPr>
        <w:tabs>
          <w:tab w:val="right" w:pos="8640" w:leader="dot"/>
        </w:tabs>
        <w:ind w:left="600" w:hanging="0"/>
        <w:spacing w:before="0" w:after="20"/>
      </w:pPr>
      <w:r>
        <w:rPr>
          <w:rFonts w:ascii="Calibri" w:hAnsi="Calibri"/>
          <w:b w:val="0"/>
          <w:color w:val="333333"/>
          <w:sz w:val="20"/>
        </w:rPr>
        <w:t>A.8. El ROI de la paritat</w:t>
      </w:r>
      <w:r>
        <w:rPr>
          <w:sz w:val="20"/>
        </w:rPr>
        <w:tab/>
      </w:r>
      <w:r>
        <w:rPr>
          <w:rFonts w:ascii="Calibri" w:hAnsi="Calibri"/>
          <w:b w:val="0"/>
          <w:color w:val="333333"/>
          <w:sz w:val="20"/>
        </w:rPr>
        <w:t>22</w:t>
      </w:r>
    </w:p>
    <w:p>
      <w:pPr>
        <w:tabs>
          <w:tab w:val="right" w:pos="8640" w:leader="dot"/>
        </w:tabs>
        <w:ind w:left="600" w:hanging="0"/>
        <w:spacing w:before="0" w:after="20"/>
      </w:pPr>
      <w:r>
        <w:rPr>
          <w:rFonts w:ascii="Calibri" w:hAnsi="Calibri"/>
          <w:b w:val="0"/>
          <w:color w:val="333333"/>
          <w:sz w:val="20"/>
        </w:rPr>
        <w:t>A.9. Plans operatius</w:t>
      </w:r>
      <w:r>
        <w:rPr>
          <w:sz w:val="20"/>
        </w:rPr>
        <w:tab/>
      </w:r>
      <w:r>
        <w:rPr>
          <w:rFonts w:ascii="Calibri" w:hAnsi="Calibri"/>
          <w:b w:val="0"/>
          <w:color w:val="333333"/>
          <w:sz w:val="20"/>
        </w:rPr>
        <w:t>23</w:t>
      </w:r>
    </w:p>
    <w:p>
      <w:pPr>
        <w:tabs>
          <w:tab w:val="right" w:pos="8640" w:leader="dot"/>
        </w:tabs>
        <w:ind w:left="600" w:hanging="0"/>
        <w:spacing w:before="0" w:after="20"/>
      </w:pPr>
      <w:r>
        <w:rPr>
          <w:rFonts w:ascii="Calibri" w:hAnsi="Calibri"/>
          <w:b w:val="0"/>
          <w:color w:val="333333"/>
          <w:sz w:val="20"/>
        </w:rPr>
        <w:t>A.10. Els cinc indicadors del Mètode</w:t>
      </w:r>
      <w:r>
        <w:rPr>
          <w:sz w:val="20"/>
        </w:rPr>
        <w:tab/>
      </w:r>
      <w:r>
        <w:rPr>
          <w:rFonts w:ascii="Calibri" w:hAnsi="Calibri"/>
          <w:b w:val="0"/>
          <w:color w:val="333333"/>
          <w:sz w:val="20"/>
        </w:rPr>
        <w:t>23</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RESUM EXECUTIU</w:t>
      </w:r>
    </w:p>
    <w:p>
      <w:pPr>
        <w:jc w:val="both"/>
        <w:spacing w:before="0" w:after="100" w:line="280" w:lineRule="auto"/>
      </w:pPr>
      <w:r>
        <w:rPr>
          <w:rFonts w:ascii="Calibri" w:hAnsi="Calibri"/>
          <w:b w:val="0"/>
          <w:i w:val="0"/>
          <w:color w:val="333333"/>
          <w:sz w:val="21"/>
        </w:rPr>
        <w:t>Aquest document constitueix la síntesi més completa realitzada fins a la data sobre la situació del bàsquet femení, integrant tres investigacions independents que abasten des de la comparativa internacional NBA-WNBA fins a l'anàlisi micro dels models de gestió de clubs a Barcelona. El fil conductor és el bàsquet femení: la seva participació, les barreres estructurals que afronta, les oportunitats que el sistema no veu i els models que demostren que un altre camí és possible.</w:t>
      </w:r>
    </w:p>
    <w:p>
      <w:pPr>
        <w:jc w:val="both"/>
        <w:spacing w:before="0" w:after="100" w:line="280" w:lineRule="auto"/>
      </w:pPr>
      <w:r>
        <w:rPr>
          <w:rFonts w:ascii="Calibri" w:hAnsi="Calibri"/>
          <w:b w:val="0"/>
          <w:i w:val="0"/>
          <w:color w:val="333333"/>
          <w:sz w:val="21"/>
        </w:rPr>
        <w:t>La investigació documenta una paradoxa fonamental: el bàsquet femení creix a tots els nivells —la WNBA experimenta un augment del 183% en valoració, les llicències femenines a Espanya representen el 67% del creixement del sector— però les estructures que haurien de sostenir aquest creixement continuen desinvertint en el femení. A Barcelona, l'anomalia assoleix proporcions crítiques: amb 1,6 milions d'habitants i 134 equips formatius femenins, la taxa de conversió base-èlit és del 0,75%. Això significa que el 99,25% del talent femení format a la ciutat no arriba a categories estatals.</w:t>
      </w:r>
    </w:p>
    <w:p>
      <w:pPr>
        <w:jc w:val="both"/>
        <w:spacing w:before="0" w:after="100" w:line="280" w:lineRule="auto"/>
      </w:pPr>
      <w:r>
        <w:rPr>
          <w:rFonts w:ascii="Calibri" w:hAnsi="Calibri"/>
          <w:b w:val="0"/>
          <w:i w:val="0"/>
          <w:color w:val="333333"/>
          <w:sz w:val="21"/>
        </w:rPr>
        <w:t>L'informe identifica les causes estructurals d'aquesta situació —saturació d'infraestructures, model de finançament municipal que no discrimina per rendiment, fuga de talent cap a l'àrea metropolitana, governança esportiva masculinitzada (100% presidents homes als clubs analitzats)— i documenta que municipis amb una fracció dels recursos de Barcelona (Mataró, Girona, La Seu d'Urgell) han consolidat projectes femenins d'èlit amb suport institucional sostingut.</w:t>
      </w:r>
    </w:p>
    <w:p>
      <w:pPr>
        <w:jc w:val="both"/>
        <w:spacing w:before="0" w:after="100" w:line="280" w:lineRule="auto"/>
      </w:pPr>
      <w:r>
        <w:rPr>
          <w:rFonts w:ascii="Calibri" w:hAnsi="Calibri"/>
          <w:b w:val="0"/>
          <w:i w:val="0"/>
          <w:color w:val="333333"/>
          <w:sz w:val="21"/>
        </w:rPr>
        <w:t>Es formulen cinc teories originals —Mercat Invisible, Escala de Reconeixement, Irreversibilitat Cultural, Desfasament Generacional i Autenticitat Productiva— que revelen els mecanismes ocults que perpetuen la bretxa. I es presenta un pla estratègic articulat en cinc eixos amb indicadors de seguiment mesurables.</w:t>
      </w:r>
    </w:p>
    <w:p>
      <w:pPr>
        <w:pStyle w:val="Heading2"/>
        <w:pBdr>
          <w:bottom w:val="single" w:sz="4" w:space="1" w:color="1B5E8A"/>
        </w:pBdr>
        <w:spacing w:before="200" w:after="80"/>
      </w:pPr>
      <w:r>
        <w:rPr>
          <w:rFonts w:ascii="Calibri" w:hAnsi="Calibri"/>
          <w:b/>
          <w:i w:val="0"/>
          <w:color w:val="1A2E4A"/>
          <w:sz w:val="24"/>
        </w:rPr>
        <w:t>Indicadors clau de la investigació</w:t>
      </w:r>
    </w:p>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I. CONTEXT INTERNACIONAL: LA BRETXA GLOBAL</w:t>
      </w:r>
    </w:p>
    <w:p>
      <w:pPr>
        <w:pStyle w:val="Heading2"/>
        <w:pBdr>
          <w:bottom w:val="single" w:sz="4" w:space="1" w:color="1B5E8A"/>
        </w:pBdr>
        <w:spacing w:before="200" w:after="80"/>
      </w:pPr>
      <w:r>
        <w:rPr>
          <w:rFonts w:ascii="Calibri" w:hAnsi="Calibri"/>
          <w:b/>
          <w:i w:val="0"/>
          <w:color w:val="1A2E4A"/>
          <w:sz w:val="24"/>
        </w:rPr>
        <w:t>1.1. L'abisme NBA-WNBA: dues realitats econòmiques</w:t>
      </w:r>
    </w:p>
    <w:p>
      <w:pPr>
        <w:jc w:val="both"/>
        <w:spacing w:before="0" w:after="100" w:line="280" w:lineRule="auto"/>
      </w:pPr>
      <w:r>
        <w:rPr>
          <w:rFonts w:ascii="Calibri" w:hAnsi="Calibri"/>
          <w:b w:val="0"/>
          <w:i w:val="0"/>
          <w:color w:val="333333"/>
          <w:sz w:val="21"/>
        </w:rPr>
        <w:t>El bàsquet als Estats Units opera en dues realitats econòmiques dramàticament diferents. La NBA va generar 11.300 milions de dòlars en ingressos la temporada 2023-2024, amb un valor col·lectiu dels seus 30 equips de 132.800 milions. El salari mitjà d'un jugador NBA se situa en 11,9 milions de dòlars anuals. En contrast, la WNBA genera uns 200 milions d'ingressos anuals, el salari mitjà és de 147.745 dòlars i les jugadores reben el 9,3% dels ingressos de la lliga (davant el 50% que reben els homes a la NBA).</w:t>
      </w:r>
    </w:p>
    <w:p>
      <w:pPr>
        <w:jc w:val="both"/>
        <w:spacing w:before="0" w:after="100" w:line="280" w:lineRule="auto"/>
      </w:pPr>
      <w:r>
        <w:rPr>
          <w:rFonts w:ascii="Calibri" w:hAnsi="Calibri"/>
          <w:b/>
          <w:i w:val="0"/>
          <w:color w:val="333333"/>
          <w:sz w:val="21"/>
        </w:rPr>
        <w:t>La disparitat salarial de 80:1 és una de les més grans de qualsevol esport professional a nivell global. El salari màxim d'una estrella WNBA (241.984$) no arriba ni al 0,5% del contracte de Stephen Curry (59,6 milions). La ràtio de valoració de franquícies és de 38:1.</w:t>
      </w:r>
    </w:p>
    <w:p/>
    <w:p>
      <w:pPr>
        <w:pStyle w:val="Heading2"/>
        <w:pBdr>
          <w:bottom w:val="single" w:sz="4" w:space="1" w:color="1B5E8A"/>
        </w:pBdr>
        <w:spacing w:before="200" w:after="80"/>
      </w:pPr>
      <w:r>
        <w:rPr>
          <w:rFonts w:ascii="Calibri" w:hAnsi="Calibri"/>
          <w:b/>
          <w:i w:val="0"/>
          <w:color w:val="1A2E4A"/>
          <w:sz w:val="24"/>
        </w:rPr>
        <w:t>1.2. La WNBA com a indicador de tendència global</w:t>
      </w:r>
    </w:p>
    <w:p>
      <w:pPr>
        <w:jc w:val="both"/>
        <w:spacing w:before="0" w:after="100" w:line="280" w:lineRule="auto"/>
      </w:pPr>
      <w:r>
        <w:rPr>
          <w:rFonts w:ascii="Calibri" w:hAnsi="Calibri"/>
          <w:b w:val="0"/>
          <w:i w:val="0"/>
          <w:color w:val="333333"/>
          <w:sz w:val="21"/>
        </w:rPr>
        <w:t>Malgrat l'abisme, la WNBA experimenta un creixement sense precedents: la valoració mitjana per franquícia ha augmentat un 183% el 2025 (272 milions de dòlars), l'assistència ha crescut un 48% respecte a 2023, i l'audiència televisiva de la posttemporada ha pujat un 139%. El nou contracte televisiu de 2.200 milions de dòlars en 11 anys quadruplica l'anterior. L'efecte Caitlin Clark ha demostrat que quan existeixen referents visibles, la demanda respon: partits amb la seva participació van superar els 2 milions de dòlars per taquilla.</w:t>
      </w:r>
    </w:p>
    <w:p>
      <w:pPr>
        <w:jc w:val="both"/>
        <w:spacing w:before="0" w:after="100" w:line="280" w:lineRule="auto"/>
      </w:pPr>
      <w:r>
        <w:rPr>
          <w:rFonts w:ascii="Calibri" w:hAnsi="Calibri"/>
          <w:b w:val="0"/>
          <w:i w:val="0"/>
          <w:color w:val="333333"/>
          <w:sz w:val="21"/>
        </w:rPr>
        <w:t>La lliçó internacional és inequívoca: la bretxa no és un dèficit de talent sinó un dèficit d'inversió en visibilitat. Quan la inversió arriba, els resultats són immediats i mesurables.</w:t>
      </w:r>
    </w:p>
    <w:p>
      <w:pPr>
        <w:pStyle w:val="Heading2"/>
        <w:pBdr>
          <w:bottom w:val="single" w:sz="4" w:space="1" w:color="1B5E8A"/>
        </w:pBdr>
        <w:spacing w:before="200" w:after="80"/>
      </w:pPr>
      <w:r>
        <w:rPr>
          <w:rFonts w:ascii="Calibri" w:hAnsi="Calibri"/>
          <w:b/>
          <w:i w:val="0"/>
          <w:color w:val="1A2E4A"/>
          <w:sz w:val="24"/>
        </w:rPr>
        <w:t>1.3. Europa: models de referència</w:t>
      </w:r>
    </w:p>
    <w:p>
      <w:pPr>
        <w:jc w:val="both"/>
        <w:spacing w:before="0" w:after="100" w:line="280" w:lineRule="auto"/>
      </w:pPr>
      <w:r>
        <w:rPr>
          <w:rFonts w:ascii="Calibri" w:hAnsi="Calibri"/>
          <w:b w:val="0"/>
          <w:i w:val="0"/>
          <w:color w:val="333333"/>
          <w:sz w:val="21"/>
        </w:rPr>
        <w:t>L'Euroleague Women mostra un patró comú: els clubs d'èlit femenina operen en ecosistemes on existeix suport municipal o estatal, història comunitària i visió estratègica a llarg termini. Ciutats mitjanes com Bourges (França), Schio (Itàlia) o Sopron (Hongria) han consolidat projectes d'excel·lència femenina. El model francès integra suport municipal amb estructura de centre de formació; el model nòrdic inclou l'esport femení dins de polítiques d'igualtat transversals; el model italià es basa en patrocini corporatiu estable. Tots tres comparteixen un element: la decisió deliberada d'invertir en estructura femenina, no només en comunicació.</w:t>
      </w:r>
    </w:p>
    <w:p>
      <w:pPr>
        <w:jc w:val="both"/>
        <w:spacing w:before="0" w:after="100" w:line="280" w:lineRule="auto"/>
      </w:pPr>
      <w:r>
        <w:rPr>
          <w:rFonts w:ascii="Calibri" w:hAnsi="Calibri"/>
          <w:b w:val="0"/>
          <w:i w:val="0"/>
          <w:color w:val="333333"/>
          <w:sz w:val="21"/>
        </w:rPr>
        <w:t>La representació espanyola a l'èlit europea es limita històricament a Perfumerías Avenida i Spar Girona, un indicador del marge de creixement que té l'ecosistema català i espanyol.</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II. ESPANYA: L'ECOSISTEMA ESTATAL</w:t>
      </w:r>
    </w:p>
    <w:p>
      <w:pPr>
        <w:pStyle w:val="Heading2"/>
        <w:pBdr>
          <w:bottom w:val="single" w:sz="4" w:space="1" w:color="1B5E8A"/>
        </w:pBdr>
        <w:spacing w:before="200" w:after="80"/>
      </w:pPr>
      <w:r>
        <w:rPr>
          <w:rFonts w:ascii="Calibri" w:hAnsi="Calibri"/>
          <w:b/>
          <w:i w:val="0"/>
          <w:color w:val="1A2E4A"/>
          <w:sz w:val="24"/>
        </w:rPr>
        <w:t>2.1. 440.427 llicències: creixement i contrasts</w:t>
      </w:r>
    </w:p>
    <w:p>
      <w:pPr>
        <w:jc w:val="both"/>
        <w:spacing w:before="0" w:after="100" w:line="280" w:lineRule="auto"/>
      </w:pPr>
      <w:r>
        <w:rPr>
          <w:rFonts w:ascii="Calibri" w:hAnsi="Calibri"/>
          <w:b w:val="0"/>
          <w:i w:val="0"/>
          <w:color w:val="333333"/>
          <w:sz w:val="21"/>
        </w:rPr>
        <w:t>El bàsquet espanyol compta amb 440.427 llicències federatives (2024), de les quals 157.432 són femenines (35,7%). El creixement femení és notable: 19.165 noves llicències en un sol any, el 67% del creixement total del sector. Això confirma la tendència global observada a la WNBA: el bàsquet femení creix més ràpidament que el masculí. No obstant això, el creixement quantitatiu amaga una desconnexió estructural greu entre la base i l'èlit.</w:t>
      </w:r>
    </w:p>
    <w:p>
      <w:pPr>
        <w:pStyle w:val="Heading2"/>
        <w:pBdr>
          <w:bottom w:val="single" w:sz="4" w:space="1" w:color="1B5E8A"/>
        </w:pBdr>
        <w:spacing w:before="200" w:after="80"/>
      </w:pPr>
      <w:r>
        <w:rPr>
          <w:rFonts w:ascii="Calibri" w:hAnsi="Calibri"/>
          <w:b/>
          <w:i w:val="0"/>
          <w:color w:val="1A2E4A"/>
          <w:sz w:val="24"/>
        </w:rPr>
        <w:t>2.2. La piràmide competitiva femenina</w:t>
      </w:r>
    </w:p>
    <w:p>
      <w:pPr>
        <w:jc w:val="both"/>
        <w:spacing w:before="0" w:after="100" w:line="280" w:lineRule="auto"/>
      </w:pPr>
      <w:r>
        <w:rPr>
          <w:rFonts w:ascii="Calibri" w:hAnsi="Calibri"/>
          <w:b w:val="0"/>
          <w:i w:val="0"/>
          <w:color w:val="333333"/>
          <w:sz w:val="21"/>
        </w:rPr>
        <w:t>L'estructura competitiva femenina estatal s'organitza en tres lligues FEB: Liga Femenina Endesa (14 equips, màxima categoria), Liga Femenina Challenge (16 equips) i Liga Femenina 2 (28 equips en dos grups). Catalunya és la comunitat autònoma amb més representació en el conjunt de les tres lligues, amb 15 equips, però la distribució dins de Catalunya és profundament desigual: Girona, La Seu d'Urgell i Badalona concentren la presència a les categories superiors, mentre que Barcelona ciutat és pràcticament absent.</w:t>
      </w:r>
    </w:p>
    <w:p>
      <w:pPr>
        <w:pStyle w:val="Heading2"/>
        <w:pBdr>
          <w:bottom w:val="single" w:sz="4" w:space="1" w:color="1B5E8A"/>
        </w:pBdr>
        <w:spacing w:before="200" w:after="80"/>
      </w:pPr>
      <w:r>
        <w:rPr>
          <w:rFonts w:ascii="Calibri" w:hAnsi="Calibri"/>
          <w:b/>
          <w:i w:val="0"/>
          <w:color w:val="1A2E4A"/>
          <w:sz w:val="24"/>
        </w:rPr>
        <w:t>2.3. L'embut de les entrenadores</w:t>
      </w:r>
    </w:p>
    <w:p>
      <w:pPr>
        <w:jc w:val="both"/>
        <w:spacing w:before="0" w:after="100" w:line="280" w:lineRule="auto"/>
      </w:pPr>
      <w:r>
        <w:rPr>
          <w:rFonts w:ascii="Calibri" w:hAnsi="Calibri"/>
          <w:b w:val="0"/>
          <w:i w:val="0"/>
          <w:color w:val="333333"/>
          <w:sz w:val="21"/>
        </w:rPr>
        <w:t>La investigació revela un embut crític en la formació tècnica femenina. Les dones representen el 35,7% de les llicències de jugadores, però només el 24,1% del personal en formació d'entrenadors i un 9% assoleix el Curs Superior d'Entrenador. Això configura una escala trencada on cada graó perd un percentatge significatiu de dones. A les presidències de federacions, la xifra baixa al 5%, i als clubs de base de Barcelona, al 0%.</w:t>
      </w:r>
    </w:p>
    <w:p/>
    <w:p>
      <w:pPr>
        <w:pStyle w:val="Heading2"/>
        <w:pBdr>
          <w:bottom w:val="single" w:sz="4" w:space="1" w:color="1B5E8A"/>
        </w:pBdr>
        <w:spacing w:before="200" w:after="80"/>
      </w:pPr>
      <w:r>
        <w:rPr>
          <w:rFonts w:ascii="Calibri" w:hAnsi="Calibri"/>
          <w:b/>
          <w:i w:val="0"/>
          <w:color w:val="1A2E4A"/>
          <w:sz w:val="24"/>
        </w:rPr>
        <w:t>2.4. L'abandonament femení: cinc mecanismes d'expulsió</w:t>
      </w:r>
    </w:p>
    <w:p>
      <w:pPr>
        <w:jc w:val="both"/>
        <w:spacing w:before="0" w:after="100" w:line="280" w:lineRule="auto"/>
      </w:pPr>
      <w:r>
        <w:rPr>
          <w:rFonts w:ascii="Calibri" w:hAnsi="Calibri"/>
          <w:b w:val="0"/>
          <w:i w:val="0"/>
          <w:color w:val="333333"/>
          <w:sz w:val="21"/>
        </w:rPr>
        <w:t>L'Enquesta d'Hàbits Esportius 2024-2025 indica que només el 8% de les noies de 15-16 anys compleix els mínims d'activitat física, enfront del 23,2% dels nois. La narrativa convencional atribueix la responsabilitat a les noies ("abandonen l'esport"). L'anàlisi estructural identifica cinc mecanismes d'expulsió que operen des del sistema:</w:t>
      </w:r>
    </w:p>
    <w:p>
      <w:pPr>
        <w:jc w:val="both"/>
        <w:spacing w:before="0" w:after="100" w:line="280" w:lineRule="auto"/>
      </w:pPr>
      <w:r>
        <w:rPr>
          <w:rFonts w:ascii="Calibri" w:hAnsi="Calibri"/>
          <w:b w:val="0"/>
          <w:i w:val="0"/>
          <w:color w:val="333333"/>
          <w:sz w:val="21"/>
        </w:rPr>
        <w:t>1) L'eslabó absent: clubs sense equip júnior o sènior femení, de manera que la jugadora cadet no té on continuar. 2) L'horari hostil: equips femenins relegats a franges de 21:30-23:00h. 3) El banquet buit: absència de referents femenins als banquets tècnics. 4) La fuga forçada: jugadores amb projecció obligades a marxar a clubs de l'àrea metropolitana. 5) La paradoxa de l'accés: programes de formació d'entrenadores que exigeixen titulació prèvia per donar suport a obtenir titulació.</w:t>
      </w:r>
    </w:p>
    <w:p>
      <w:pPr>
        <w:jc w:val="both"/>
        <w:spacing w:before="0" w:after="100" w:line="280" w:lineRule="auto"/>
      </w:pPr>
      <w:r>
        <w:rPr>
          <w:rFonts w:ascii="Calibri" w:hAnsi="Calibri"/>
          <w:b w:val="0"/>
          <w:i w:val="0"/>
          <w:color w:val="333333"/>
          <w:sz w:val="21"/>
        </w:rPr>
        <w:t>L'evidència neurocientífica reforça l'anàlisi: durant la pubertat (13-16 anys), el cervell experimenta una reorganització del sistema de recompensa (Steinberg, 2008) que crea una finestra de vulnerabilitat. L'esport organitzat amb rutines estables funciona com un bastiment extern per al còrtex prefrontal en desenvolupament. Retirar una adolescent de l'esport per millorar els resultats acadèmics és contraproduent: l'evidència científica demostra que l'exercici millora la concentració, la memòria i el rendiment escolar (Singh et al., 2018; Bidzan-Bluma i Lipowska, 2018).</w:t>
      </w:r>
    </w:p>
    <w:p>
      <w:pPr>
        <w:pStyle w:val="Heading2"/>
        <w:pBdr>
          <w:bottom w:val="single" w:sz="4" w:space="1" w:color="1B5E8A"/>
        </w:pBdr>
        <w:spacing w:before="200" w:after="80"/>
      </w:pPr>
      <w:r>
        <w:rPr>
          <w:rFonts w:ascii="Calibri" w:hAnsi="Calibri"/>
          <w:b/>
          <w:i w:val="0"/>
          <w:color w:val="1A2E4A"/>
          <w:sz w:val="24"/>
        </w:rPr>
        <w:t>2.5. El 8M en el bàsquet: de la simbòlica a l'estructural</w:t>
      </w:r>
    </w:p>
    <w:p>
      <w:pPr>
        <w:jc w:val="both"/>
        <w:spacing w:before="0" w:after="100" w:line="280" w:lineRule="auto"/>
      </w:pPr>
      <w:r>
        <w:rPr>
          <w:rFonts w:ascii="Calibri" w:hAnsi="Calibri"/>
          <w:b w:val="0"/>
          <w:i w:val="0"/>
          <w:color w:val="333333"/>
          <w:sz w:val="21"/>
        </w:rPr>
        <w:t>L'anàlisi de les campanyes del 8 de març en el bàsquet internacional i espanyol revela que el 80% dels clubs realitzen publicacions simbòliques (fons morat, missatge genèric, hashtags) sense cap política estructural anual vinculada. La Liga Femenina Endesa, l'Euroleague Women i la majoria de clubs operen sota el que la psicologia social anomena "llicència moral": el gest simbòlic d'igualtat allibera l'organització de la pressió per actuar estructuralment.</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III. CATALUNYA I BARCELONA: DIAGNÒSTIC TERRITORIAL</w:t>
      </w:r>
    </w:p>
    <w:p>
      <w:pPr>
        <w:pStyle w:val="Heading2"/>
        <w:pBdr>
          <w:bottom w:val="single" w:sz="4" w:space="1" w:color="1B5E8A"/>
        </w:pBdr>
        <w:spacing w:before="200" w:after="80"/>
      </w:pPr>
      <w:r>
        <w:rPr>
          <w:rFonts w:ascii="Calibri" w:hAnsi="Calibri"/>
          <w:b/>
          <w:i w:val="0"/>
          <w:color w:val="1A2E4A"/>
          <w:sz w:val="24"/>
        </w:rPr>
        <w:t>3.1. Catalunya: 87.198 llicències i un ecosistema desigual</w:t>
      </w:r>
    </w:p>
    <w:p>
      <w:pPr>
        <w:jc w:val="both"/>
        <w:spacing w:before="0" w:after="100" w:line="280" w:lineRule="auto"/>
      </w:pPr>
      <w:r>
        <w:rPr>
          <w:rFonts w:ascii="Calibri" w:hAnsi="Calibri"/>
          <w:b w:val="0"/>
          <w:i w:val="0"/>
          <w:color w:val="333333"/>
          <w:sz w:val="21"/>
        </w:rPr>
        <w:t>Catalunya és la comunitat autònoma amb l'ecosistema de bàsquet més gran d'Espanya: 87.198 llicències, 419 clubs afiliats a la FCBQ i 25.965 fitxes de jugadores (36% del total). El bàsquet català masculí lidera la competició estatal amb 6 equips a l'ACB (33,3% de la màxima categoria). En canvi, Catalunya només aporta 3 equips a la LF Endesa femenina (16,7%), i cap d'ells té seu a Barcelona ciutat.</w:t>
      </w:r>
    </w:p>
    <w:p>
      <w:pPr>
        <w:pStyle w:val="Heading2"/>
        <w:pBdr>
          <w:bottom w:val="single" w:sz="4" w:space="1" w:color="1B5E8A"/>
        </w:pBdr>
        <w:spacing w:before="200" w:after="80"/>
      </w:pPr>
      <w:r>
        <w:rPr>
          <w:rFonts w:ascii="Calibri" w:hAnsi="Calibri"/>
          <w:b/>
          <w:i w:val="0"/>
          <w:color w:val="1A2E4A"/>
          <w:sz w:val="24"/>
        </w:rPr>
        <w:t>3.2. Barcelona: l'anomalia d'una gran ciutat sense bàsquet femení estatal</w:t>
      </w:r>
    </w:p>
    <w:p>
      <w:pPr>
        <w:jc w:val="both"/>
        <w:spacing w:before="0" w:after="100" w:line="280" w:lineRule="auto"/>
      </w:pPr>
      <w:r>
        <w:rPr>
          <w:rFonts w:ascii="Calibri" w:hAnsi="Calibri"/>
          <w:b w:val="0"/>
          <w:i w:val="0"/>
          <w:color w:val="333333"/>
          <w:sz w:val="21"/>
        </w:rPr>
        <w:t>Barcelona ciutat, amb 1.660.000 habitants, compta amb un sol club genuinament comunitari en lligues FEB femenines: el MCR Lima-Horta, que competeix a la LF Challenge. En comparació, Mataró (130.000 hab.) té dos equips a LF2, Viladecans (67.000 hab.) té un, Cornellà (90.000 hab.) té un i Manresa (78.000 hab.) té un. La ràtio de representació per habitant de Barcelona és entre 10 i 25 vegades inferior a la de municipis del cinturó metropolità.</w:t>
      </w:r>
    </w:p>
    <w:p>
      <w:pPr>
        <w:jc w:val="both"/>
        <w:spacing w:before="0" w:after="100" w:line="280" w:lineRule="auto"/>
      </w:pPr>
      <w:r>
        <w:rPr>
          <w:rFonts w:ascii="Calibri" w:hAnsi="Calibri"/>
          <w:b w:val="0"/>
          <w:i w:val="0"/>
          <w:color w:val="333333"/>
          <w:sz w:val="21"/>
        </w:rPr>
        <w:t>La distribució territorial dels 17 clubs verificats mostra una concentració en tres districtes: Horta-Guinardó (114 equips, 31,5%), Les Corts (66 equips, 18,2%) i Gràcia (61 equips, 16,9%). Existeixen dos deserts territorials absoluts: l'Eixample (262.000 hab., 0 clubs) i Sant Andreu (148.000 hab., 0 clubs), que representen 410.000 habitants sense cobertura de bàsquet federat.</w:t>
      </w:r>
    </w:p>
    <w:p>
      <w:pPr>
        <w:pStyle w:val="Heading2"/>
        <w:pBdr>
          <w:bottom w:val="single" w:sz="4" w:space="1" w:color="1B5E8A"/>
        </w:pBdr>
        <w:spacing w:before="200" w:after="80"/>
      </w:pPr>
      <w:r>
        <w:rPr>
          <w:rFonts w:ascii="Calibri" w:hAnsi="Calibri"/>
          <w:b/>
          <w:i w:val="0"/>
          <w:color w:val="1A2E4A"/>
          <w:sz w:val="24"/>
        </w:rPr>
        <w:t>3.3. El buit competitiu: de la base a l'èlit</w:t>
      </w:r>
    </w:p>
    <w:p>
      <w:pPr>
        <w:jc w:val="both"/>
        <w:spacing w:before="0" w:after="100" w:line="280" w:lineRule="auto"/>
      </w:pPr>
      <w:r>
        <w:rPr>
          <w:rFonts w:ascii="Calibri" w:hAnsi="Calibri"/>
          <w:b w:val="0"/>
          <w:i w:val="0"/>
          <w:color w:val="333333"/>
          <w:sz w:val="21"/>
        </w:rPr>
        <w:t>El diagnòstic més crític és la identificació del buit competitiu entre la base formativa i la competició d'alt nivell. Barcelona té 134 equips femenins formatius però només 1 equip a LF Challenge (Lima-Horta) i 0 equips a LF2. Això configura una taxa de conversió del 0,75%.</w:t>
      </w:r>
    </w:p>
    <w:p>
      <w:pPr>
        <w:jc w:val="both"/>
        <w:spacing w:before="0" w:after="100" w:line="280" w:lineRule="auto"/>
      </w:pPr>
      <w:r>
        <w:rPr>
          <w:rFonts w:ascii="Calibri" w:hAnsi="Calibri"/>
          <w:b w:val="0"/>
          <w:i w:val="0"/>
          <w:color w:val="333333"/>
          <w:sz w:val="21"/>
        </w:rPr>
        <w:t>Les conseqüències són directes i mesurables: fuga de talent (les jugadores amb projecció abandonen Barcelona per jugar a clubs metropolitans), desmotivació a la base (sense referents locals d'alt nivell, la captació disminueix i l'abandonament augmenta entre els 14 i els 18 anys), i pèrdua de capitalitat (Barcelona cedeix el pol d'atracció del bàsquet femení català a Girona, La Seu i Badalona).</w:t>
      </w:r>
    </w:p>
    <w:p>
      <w:pPr>
        <w:pStyle w:val="Heading2"/>
        <w:pBdr>
          <w:bottom w:val="single" w:sz="4" w:space="1" w:color="1B5E8A"/>
        </w:pBdr>
        <w:spacing w:before="200" w:after="80"/>
      </w:pPr>
      <w:r>
        <w:rPr>
          <w:rFonts w:ascii="Calibri" w:hAnsi="Calibri"/>
          <w:b/>
          <w:i w:val="0"/>
          <w:color w:val="1A2E4A"/>
          <w:sz w:val="24"/>
        </w:rPr>
        <w:t>3.4. Causes estructurals</w:t>
      </w:r>
    </w:p>
    <w:p>
      <w:pPr>
        <w:pStyle w:val="Heading3"/>
        <w:spacing w:before="160" w:after="60"/>
      </w:pPr>
      <w:r>
        <w:rPr>
          <w:rFonts w:ascii="Calibri" w:hAnsi="Calibri"/>
          <w:b/>
          <w:i w:val="0"/>
          <w:color w:val="C0392B"/>
          <w:sz w:val="22"/>
        </w:rPr>
        <w:t>L'efecte ombra del FC Barcelona</w:t>
      </w:r>
    </w:p>
    <w:p>
      <w:pPr>
        <w:jc w:val="both"/>
        <w:spacing w:before="0" w:after="100" w:line="280" w:lineRule="auto"/>
      </w:pPr>
      <w:r>
        <w:rPr>
          <w:rFonts w:ascii="Calibri" w:hAnsi="Calibri"/>
          <w:b w:val="0"/>
          <w:i w:val="0"/>
          <w:color w:val="333333"/>
          <w:sz w:val="21"/>
        </w:rPr>
        <w:t>El FC Barcelona acapara atenció mediàtica, instal·lacions i captació de talent, però sense compromís sostenible amb el bàsquet femení. El seu conveni amb el CB Santfeliuenc (2011-2025) va acabar amb el club federat en situació de col·lapse: descens segur de la LF Challenge amb 1 victòria en 19 partits i retirada de la Super Copa femenina catalana. És la segona vegada que un conveni del FC Barcelona amb un club de base femení acaba d'aquesta manera (anteriorment, el conveni amb la UB el 2007).</w:t>
      </w:r>
    </w:p>
    <w:p>
      <w:pPr>
        <w:pStyle w:val="Heading3"/>
        <w:spacing w:before="160" w:after="60"/>
      </w:pPr>
      <w:r>
        <w:rPr>
          <w:rFonts w:ascii="Calibri" w:hAnsi="Calibri"/>
          <w:b/>
          <w:i w:val="0"/>
          <w:color w:val="C0392B"/>
          <w:sz w:val="22"/>
        </w:rPr>
        <w:t>Infraestructures saturades i model de finançament</w:t>
      </w:r>
    </w:p>
    <w:p>
      <w:pPr>
        <w:jc w:val="both"/>
        <w:spacing w:before="0" w:after="100" w:line="280" w:lineRule="auto"/>
      </w:pPr>
      <w:r>
        <w:rPr>
          <w:rFonts w:ascii="Calibri" w:hAnsi="Calibri"/>
          <w:b w:val="0"/>
          <w:i w:val="0"/>
          <w:color w:val="333333"/>
          <w:sz w:val="21"/>
        </w:rPr>
        <w:t>Els pavellons municipals estan saturats, amb múltiples disciplines competint per franges limitades. El Lima-Horta opera en sis pistes llogades amb un cost de 110.000 euros anuals, dels quals la subvenció municipal de 65.000 euros no cobreix ni la meitat. El model de finançament municipal prioritza el volum d'equips per sobre del rendiment competitiu, de manera que un equip de LF2 o de màxima categoria catalana resulta invisible per a les polítiques de promoció esportiva.</w:t>
      </w:r>
    </w:p>
    <w:p>
      <w:pPr>
        <w:pStyle w:val="Heading3"/>
        <w:spacing w:before="160" w:after="60"/>
      </w:pPr>
      <w:r>
        <w:rPr>
          <w:rFonts w:ascii="Calibri" w:hAnsi="Calibri"/>
          <w:b/>
          <w:i w:val="0"/>
          <w:color w:val="C0392B"/>
          <w:sz w:val="22"/>
        </w:rPr>
        <w:t>Fuga de talent</w:t>
      </w:r>
    </w:p>
    <w:p>
      <w:pPr>
        <w:jc w:val="both"/>
        <w:spacing w:before="0" w:after="100" w:line="280" w:lineRule="auto"/>
      </w:pPr>
      <w:r>
        <w:rPr>
          <w:rFonts w:ascii="Calibri" w:hAnsi="Calibri"/>
          <w:b w:val="0"/>
          <w:i w:val="0"/>
          <w:color w:val="333333"/>
          <w:sz w:val="21"/>
        </w:rPr>
        <w:t>Les jugadores joves amb nivell competitiu migren a clubs del cinturó metropolità que els hi ofereixen compensacions econòmiques. El resultat és un drenatge sistemàtic de talent des de la capital cap a municipis veïns: Barcelona forma talent que no pot retenir.</w:t>
      </w:r>
    </w:p>
    <w:p>
      <w:pPr>
        <w:pStyle w:val="Heading2"/>
        <w:pBdr>
          <w:bottom w:val="single" w:sz="4" w:space="1" w:color="1B5E8A"/>
        </w:pBdr>
        <w:spacing w:before="200" w:after="80"/>
      </w:pPr>
      <w:r>
        <w:rPr>
          <w:rFonts w:ascii="Calibri" w:hAnsi="Calibri"/>
          <w:b/>
          <w:i w:val="0"/>
          <w:color w:val="1A2E4A"/>
          <w:sz w:val="24"/>
        </w:rPr>
        <w:t>3.5. El col·lapse dels models dependents</w:t>
      </w:r>
    </w:p>
    <w:p>
      <w:pPr>
        <w:jc w:val="both"/>
        <w:spacing w:before="0" w:after="100" w:line="280" w:lineRule="auto"/>
      </w:pPr>
      <w:r>
        <w:rPr>
          <w:rFonts w:ascii="Calibri" w:hAnsi="Calibri"/>
          <w:b w:val="0"/>
          <w:i w:val="0"/>
          <w:color w:val="333333"/>
          <w:sz w:val="21"/>
        </w:rPr>
        <w:t>L'anàlisi documenta un patró recurrent: els models basats en la dependència d'una macroentitat externa generen creixement artificial que col·lapsa quan l'entitat es retira. El cas Barça CBS-Santfeliuenc és el més recent, però no és l'únic. El Lima-Horta, malgrat ser l'únic club comunitari de Barcelona a lligues FEB femenines, es defineix com a "club trampolí": forma talent que perd sistemàticament. El SESE, club històric de Virrei Amat, travessa una temporada complicada amb risc de descens a Copa Catalunya.</w:t>
      </w:r>
    </w:p>
    <w:p>
      <w:pPr>
        <w:jc w:val="both"/>
        <w:spacing w:before="0" w:after="100" w:line="280" w:lineRule="auto"/>
      </w:pPr>
      <w:r>
        <w:rPr>
          <w:rFonts w:ascii="Calibri" w:hAnsi="Calibri"/>
          <w:b w:val="0"/>
          <w:i w:val="0"/>
          <w:color w:val="333333"/>
          <w:sz w:val="21"/>
        </w:rPr>
        <w:t>En el pitjor escenari, Barcelona podria acabar la temporada 2026-27 sense cap equip comunitari a LF Challenge i amb un sol club històric a la Super Copa catalana.</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IV. LA PARADOXA DEL GÈNERE</w:t>
      </w:r>
    </w:p>
    <w:p>
      <w:pPr>
        <w:pStyle w:val="Heading2"/>
        <w:pBdr>
          <w:bottom w:val="single" w:sz="4" w:space="1" w:color="1B5E8A"/>
        </w:pBdr>
        <w:spacing w:before="200" w:after="80"/>
      </w:pPr>
      <w:r>
        <w:rPr>
          <w:rFonts w:ascii="Calibri" w:hAnsi="Calibri"/>
          <w:b/>
          <w:i w:val="0"/>
          <w:color w:val="1A2E4A"/>
          <w:sz w:val="24"/>
        </w:rPr>
        <w:t>4.1. Les dones competeixen millor però reben menys</w:t>
      </w:r>
    </w:p>
    <w:p>
      <w:pPr>
        <w:jc w:val="both"/>
        <w:spacing w:before="0" w:after="100" w:line="280" w:lineRule="auto"/>
      </w:pPr>
      <w:r>
        <w:rPr>
          <w:rFonts w:ascii="Calibri" w:hAnsi="Calibri"/>
          <w:b w:val="0"/>
          <w:i w:val="0"/>
          <w:color w:val="333333"/>
          <w:sz w:val="21"/>
        </w:rPr>
        <w:t>L'anàlisi creuada de clubs catalans revela una contradicció estructural: les seccions femenines competeixen en categories superiors a les masculines en la majoria de clubs de base, però reben entre un 30% i un 60% menys d'inversió.</w:t>
      </w:r>
    </w:p>
    <w:p/>
    <w:p>
      <w:pPr>
        <w:pStyle w:val="Heading2"/>
        <w:pBdr>
          <w:bottom w:val="single" w:sz="4" w:space="1" w:color="1B5E8A"/>
        </w:pBdr>
        <w:spacing w:before="200" w:after="80"/>
      </w:pPr>
      <w:r>
        <w:rPr>
          <w:rFonts w:ascii="Calibri" w:hAnsi="Calibri"/>
          <w:b/>
          <w:i w:val="0"/>
          <w:color w:val="1A2E4A"/>
          <w:sz w:val="24"/>
        </w:rPr>
        <w:t>4.2. La inversió va als homes</w:t>
      </w:r>
    </w:p>
    <w:p>
      <w:pPr>
        <w:jc w:val="both"/>
        <w:spacing w:before="0" w:after="100" w:line="280" w:lineRule="auto"/>
      </w:pPr>
      <w:r>
        <w:rPr>
          <w:rFonts w:ascii="Calibri" w:hAnsi="Calibri"/>
          <w:b w:val="0"/>
          <w:i w:val="0"/>
          <w:color w:val="333333"/>
          <w:sz w:val="21"/>
        </w:rPr>
        <w:t>Les subvencions municipals es distribueixen segons nombre d'equips (els clubs amb més equips masculins reben més), categoria sènior (l'equip masculí rep la major part de la inversió, encara que competeixi en categories inferiors) i visibilitat (els patrocinadors prefereixen equips masculins, perpetuant el cicle). El club UB Sant Adrià té 31 equips masculins i 0 femenins: una inversió 100% exclusiva per als homes.</w:t>
      </w:r>
    </w:p>
    <w:p>
      <w:pPr>
        <w:pStyle w:val="Heading2"/>
        <w:pBdr>
          <w:bottom w:val="single" w:sz="4" w:space="1" w:color="1B5E8A"/>
        </w:pBdr>
        <w:spacing w:before="200" w:after="80"/>
      </w:pPr>
      <w:r>
        <w:rPr>
          <w:rFonts w:ascii="Calibri" w:hAnsi="Calibri"/>
          <w:b/>
          <w:i w:val="0"/>
          <w:color w:val="1A2E4A"/>
          <w:sz w:val="24"/>
        </w:rPr>
        <w:t>4.3. Governança: el 0% com a indicador absolut</w:t>
      </w:r>
    </w:p>
    <w:p>
      <w:pPr>
        <w:jc w:val="both"/>
        <w:spacing w:before="0" w:after="100" w:line="280" w:lineRule="auto"/>
      </w:pPr>
      <w:r>
        <w:rPr>
          <w:rFonts w:ascii="Calibri" w:hAnsi="Calibri"/>
          <w:b w:val="0"/>
          <w:i w:val="0"/>
          <w:color w:val="333333"/>
          <w:sz w:val="21"/>
        </w:rPr>
        <w:t>El 100% dels presidents dels clubs analitzats són homes. Això no és casual: les juntes masculines reprodueixen el seu entorn, s'envolten de persones similars i prenen decisions que perpetuen la distribució històrica de recursos. El resultat és un cercle tancat on els que decideixen mai han experimentat la bretxa que perpetuen.</w:t>
      </w:r>
    </w:p>
    <w:p/>
    <w:p>
      <w:pPr>
        <w:pStyle w:val="Heading2"/>
        <w:pBdr>
          <w:bottom w:val="single" w:sz="4" w:space="1" w:color="1B5E8A"/>
        </w:pBdr>
        <w:spacing w:before="200" w:after="80"/>
      </w:pPr>
      <w:r>
        <w:rPr>
          <w:rFonts w:ascii="Calibri" w:hAnsi="Calibri"/>
          <w:b/>
          <w:i w:val="0"/>
          <w:color w:val="1A2E4A"/>
          <w:sz w:val="24"/>
        </w:rPr>
        <w:t>4.4. Evidència quantitativa de la paradoxa</w:t>
      </w:r>
    </w:p>
    <w:p>
      <w:pPr>
        <w:jc w:val="both"/>
        <w:spacing w:before="0" w:after="100" w:line="280" w:lineRule="auto"/>
      </w:pPr>
      <w:r>
        <w:rPr>
          <w:rFonts w:ascii="Calibri" w:hAnsi="Calibri"/>
          <w:b w:val="0"/>
          <w:i w:val="0"/>
          <w:color w:val="333333"/>
          <w:sz w:val="21"/>
        </w:rPr>
        <w:t>El resum de la paradoxa és contundent: 1 equip femení a 1a divisió nacional (Uni Girona), 3 clubs femenins en lligues FEB enfront de 7 masculins, però la millor categoria assolida pels equips femenins de clubs de base és superior a la dels masculins. El pressupost mitjà d'un sènior femení oscil·la entre 80.000-150.000€, enfront dels 150.000-300.000€ del masculí. El percentatge d'inversió municipal destinada al femení se situa entre el 30-40%, malgrat que les dones representen el 40% de les llicències.</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V. PATRONS OCULTS I TEORIES EMERGENTS</w:t>
      </w:r>
    </w:p>
    <w:p>
      <w:pPr>
        <w:jc w:val="both"/>
        <w:spacing w:before="0" w:after="100" w:line="280" w:lineRule="auto"/>
      </w:pPr>
      <w:r>
        <w:rPr>
          <w:rFonts w:ascii="Calibri" w:hAnsi="Calibri"/>
          <w:b w:val="0"/>
          <w:i w:val="0"/>
          <w:color w:val="333333"/>
          <w:sz w:val="21"/>
        </w:rPr>
        <w:t>L'anàlisi creuada de dades territorials, competitives i organitzatives revela patrons que no són visibles en les dades agregades i que tenen implicacions directes per a la política pública. Aquests patrons han permès formular cinc teories originals.</w:t>
      </w:r>
    </w:p>
    <w:p>
      <w:pPr>
        <w:pStyle w:val="Heading2"/>
        <w:pBdr>
          <w:bottom w:val="single" w:sz="4" w:space="1" w:color="1B5E8A"/>
        </w:pBdr>
        <w:spacing w:before="200" w:after="80"/>
      </w:pPr>
      <w:r>
        <w:rPr>
          <w:rFonts w:ascii="Calibri" w:hAnsi="Calibri"/>
          <w:b/>
          <w:i w:val="0"/>
          <w:color w:val="1A2E4A"/>
          <w:sz w:val="24"/>
        </w:rPr>
        <w:t>5.1. Teoria del Mercat Invisible</w:t>
      </w:r>
    </w:p>
    <w:p>
      <w:pPr>
        <w:jc w:val="both"/>
        <w:spacing w:before="0" w:after="100" w:line="280" w:lineRule="auto"/>
      </w:pPr>
      <w:r>
        <w:rPr>
          <w:rFonts w:ascii="Calibri" w:hAnsi="Calibri"/>
          <w:b w:val="0"/>
          <w:i w:val="0"/>
          <w:color w:val="333333"/>
          <w:sz w:val="21"/>
        </w:rPr>
        <w:t>El talent femení opera com un mercat invisible: existeix, genera valor, però no està cotitzat. Les 157.432 dones amb llicència federativa a Espanya representen un actiu que el sistema infravalora per inèrcia, no per anàlisi. Quan un club assigna el 65% del pressupost al masculí, no ho fa per rendiment sinó per un biaix cognitiu d'ancoratge: la distribució històrica determina la futura sense cap revisió basada en dades.</w:t>
      </w:r>
    </w:p>
    <w:p>
      <w:pPr>
        <w:jc w:val="both"/>
        <w:spacing w:before="0" w:after="100" w:line="280" w:lineRule="auto"/>
      </w:pPr>
      <w:r>
        <w:rPr>
          <w:rFonts w:ascii="Calibri" w:hAnsi="Calibri"/>
          <w:b w:val="0"/>
          <w:i w:val="0"/>
          <w:color w:val="333333"/>
          <w:sz w:val="21"/>
        </w:rPr>
        <w:t>La teoria postula que en tot ecosistema esportiu on un segment rep menys del 40% dels recursos malgrat representar més del 30% dels participants, existeix un excedent de talent no explotat. El primer club que corregeixi la infravaloració captarà aquest excedent amb un cost marginal inferior al del segment sobrevalorat. L'explosió de la WNBA (+183% valoració) valida això a escala internacional.</w:t>
      </w:r>
    </w:p>
    <w:p>
      <w:pPr>
        <w:pStyle w:val="Heading2"/>
        <w:pBdr>
          <w:bottom w:val="single" w:sz="4" w:space="1" w:color="1B5E8A"/>
        </w:pBdr>
        <w:spacing w:before="200" w:after="80"/>
      </w:pPr>
      <w:r>
        <w:rPr>
          <w:rFonts w:ascii="Calibri" w:hAnsi="Calibri"/>
          <w:b/>
          <w:i w:val="0"/>
          <w:color w:val="1A2E4A"/>
          <w:sz w:val="24"/>
        </w:rPr>
        <w:t>5.2. Teoria de l'Escala de Reconeixement</w:t>
      </w:r>
    </w:p>
    <w:p>
      <w:pPr>
        <w:jc w:val="both"/>
        <w:spacing w:before="0" w:after="100" w:line="280" w:lineRule="auto"/>
      </w:pPr>
      <w:r>
        <w:rPr>
          <w:rFonts w:ascii="Calibri" w:hAnsi="Calibri"/>
          <w:b w:val="0"/>
          <w:i w:val="0"/>
          <w:color w:val="333333"/>
          <w:sz w:val="21"/>
        </w:rPr>
        <w:t>La bretxa real no es mesura pel nombre de participants sinó per la taxa de progressió entre escalons de poder. Una taxa inferior al 60% entre escalons consecutius indica una barrera estructural. Al bàsquet espanyol, la progressió de jugadora a entrenadora en formació és del 67,5%, i d'entrenadora en formació a Curs Superior, del 37,3%. L'escala està trencada i el sistema no ho mesura.</w:t>
      </w:r>
    </w:p>
    <w:p>
      <w:pPr>
        <w:pStyle w:val="Heading2"/>
        <w:pBdr>
          <w:bottom w:val="single" w:sz="4" w:space="1" w:color="1B5E8A"/>
        </w:pBdr>
        <w:spacing w:before="200" w:after="80"/>
      </w:pPr>
      <w:r>
        <w:rPr>
          <w:rFonts w:ascii="Calibri" w:hAnsi="Calibri"/>
          <w:b/>
          <w:i w:val="0"/>
          <w:color w:val="1A2E4A"/>
          <w:sz w:val="24"/>
        </w:rPr>
        <w:t>5.3. Teoria de la Irreversibilitat Cultural</w:t>
      </w:r>
    </w:p>
    <w:p>
      <w:pPr>
        <w:jc w:val="both"/>
        <w:spacing w:before="0" w:after="100" w:line="280" w:lineRule="auto"/>
      </w:pPr>
      <w:r>
        <w:rPr>
          <w:rFonts w:ascii="Calibri" w:hAnsi="Calibri"/>
          <w:b w:val="0"/>
          <w:i w:val="0"/>
          <w:color w:val="333333"/>
          <w:sz w:val="21"/>
        </w:rPr>
        <w:t>Un programa d'igualtat es pot cancel·lar; una cultura, no. La teoria postula que existeix un llindar d'irreversibilitat després del qual la paritat es converteix en auto-reproductiva. Aquest llindar s'assoleix quan: (1) més del 40% del staff tècnic són dones, (2) existeix un pipeline femení complet sense interrupcions, i (3) la segona generació d'entrenadores ja està en formació. Quan les tres condicions es compleixen, el sistema es perpetua per inèrcia positiva.</w:t>
      </w:r>
    </w:p>
    <w:p>
      <w:pPr>
        <w:pStyle w:val="Heading2"/>
        <w:pBdr>
          <w:bottom w:val="single" w:sz="4" w:space="1" w:color="1B5E8A"/>
        </w:pBdr>
        <w:spacing w:before="200" w:after="80"/>
      </w:pPr>
      <w:r>
        <w:rPr>
          <w:rFonts w:ascii="Calibri" w:hAnsi="Calibri"/>
          <w:b/>
          <w:i w:val="0"/>
          <w:color w:val="1A2E4A"/>
          <w:sz w:val="24"/>
        </w:rPr>
        <w:t>5.4. Teoria del Desfasament Generacional</w:t>
      </w:r>
    </w:p>
    <w:p>
      <w:pPr>
        <w:jc w:val="both"/>
        <w:spacing w:before="0" w:after="100" w:line="280" w:lineRule="auto"/>
      </w:pPr>
      <w:r>
        <w:rPr>
          <w:rFonts w:ascii="Calibri" w:hAnsi="Calibri"/>
          <w:b w:val="0"/>
          <w:i w:val="0"/>
          <w:color w:val="333333"/>
          <w:sz w:val="21"/>
        </w:rPr>
        <w:t>Les dades de participació són les de la generació actual (35,7% llicències femenines), però les dades de poder són les de la generació anterior (0% presidències femenines a Barcelona). Existeix un retard sistèmic de 20-30 anys entre el moment en què les dones entren al sistema i el moment en què arriben a posicions de decisió. Les polítiques de captació (més campus, més llicències) no resolen el problema del poder; cal actuar sobre la retenció i la promoció.</w:t>
      </w:r>
    </w:p>
    <w:p>
      <w:pPr>
        <w:pStyle w:val="Heading2"/>
        <w:pBdr>
          <w:bottom w:val="single" w:sz="4" w:space="1" w:color="1B5E8A"/>
        </w:pBdr>
        <w:spacing w:before="200" w:after="80"/>
      </w:pPr>
      <w:r>
        <w:rPr>
          <w:rFonts w:ascii="Calibri" w:hAnsi="Calibri"/>
          <w:b/>
          <w:i w:val="0"/>
          <w:color w:val="1A2E4A"/>
          <w:sz w:val="24"/>
        </w:rPr>
        <w:t>5.5. Teoria de l'Autenticitat Productiva</w:t>
      </w:r>
    </w:p>
    <w:p>
      <w:pPr>
        <w:jc w:val="both"/>
        <w:spacing w:before="0" w:after="100" w:line="280" w:lineRule="auto"/>
      </w:pPr>
      <w:r>
        <w:rPr>
          <w:rFonts w:ascii="Calibri" w:hAnsi="Calibri"/>
          <w:b w:val="0"/>
          <w:i w:val="0"/>
          <w:color w:val="333333"/>
          <w:sz w:val="21"/>
        </w:rPr>
        <w:t>Les organitzacions que practiquen els seus valors, en lloc de comunicar-los, generen una resposta orgànica que supera qualsevol estratègia planificada. En lloc d'invertir en campanyes d'igualtat, els clubs haurien d'invertir en igualtat: la comunicació és el subproducte, no el producte. Un club amb igualtat verificable ofereix una narrativa de marca més valuosa que un club amb un llaç morat.</w:t>
      </w:r>
    </w:p>
    <w:p>
      <w:pPr>
        <w:pStyle w:val="Heading2"/>
        <w:pBdr>
          <w:bottom w:val="single" w:sz="4" w:space="1" w:color="1B5E8A"/>
        </w:pBdr>
        <w:spacing w:before="200" w:after="80"/>
      </w:pPr>
      <w:r>
        <w:rPr>
          <w:rFonts w:ascii="Calibri" w:hAnsi="Calibri"/>
          <w:b/>
          <w:i w:val="0"/>
          <w:color w:val="1A2E4A"/>
          <w:sz w:val="24"/>
        </w:rPr>
        <w:t>5.6. Altres patrons reveladors</w:t>
      </w:r>
    </w:p>
    <w:p>
      <w:pPr>
        <w:pStyle w:val="Heading3"/>
        <w:spacing w:before="160" w:after="60"/>
      </w:pPr>
      <w:r>
        <w:rPr>
          <w:rFonts w:ascii="Calibri" w:hAnsi="Calibri"/>
          <w:b/>
          <w:i w:val="0"/>
          <w:color w:val="C0392B"/>
          <w:sz w:val="22"/>
        </w:rPr>
        <w:t>La paradoxa de la mida</w:t>
      </w:r>
    </w:p>
    <w:p>
      <w:pPr>
        <w:jc w:val="both"/>
        <w:spacing w:before="0" w:after="100" w:line="280" w:lineRule="auto"/>
      </w:pPr>
      <w:r>
        <w:rPr>
          <w:rFonts w:ascii="Calibri" w:hAnsi="Calibri"/>
          <w:b w:val="0"/>
          <w:i w:val="0"/>
          <w:color w:val="333333"/>
          <w:sz w:val="21"/>
        </w:rPr>
        <w:t>Els clubs amb més equips no necessariament tenen el millor nivell sènior. Això suggereix dues estratègies diferenciades: el Model Piràmide Ampla (molts equips, menys focus en alta competició, bàsquet participatiu) i el Model Piràmide Invertida (menys equips, major inversió en competitivitat, excel·lència esportiva).</w:t>
      </w:r>
    </w:p>
    <w:p>
      <w:pPr>
        <w:pStyle w:val="Heading3"/>
        <w:spacing w:before="160" w:after="60"/>
      </w:pPr>
      <w:r>
        <w:rPr>
          <w:rFonts w:ascii="Calibri" w:hAnsi="Calibri"/>
          <w:b/>
          <w:i w:val="0"/>
          <w:color w:val="C0392B"/>
          <w:sz w:val="22"/>
        </w:rPr>
        <w:t>La llei del 37% i l'avantatge de la paritat</w:t>
      </w:r>
    </w:p>
    <w:p>
      <w:pPr>
        <w:jc w:val="both"/>
        <w:spacing w:before="0" w:after="100" w:line="280" w:lineRule="auto"/>
      </w:pPr>
      <w:r>
        <w:rPr>
          <w:rFonts w:ascii="Calibri" w:hAnsi="Calibri"/>
          <w:b w:val="0"/>
          <w:i w:val="0"/>
          <w:color w:val="333333"/>
          <w:sz w:val="21"/>
        </w:rPr>
        <w:t>La participació femenina global és del 37%, però als clubs amb Super Copa Femenina arriba al 50%. La paritat duplica la base de captació, millora l'ambient del club, genera major sostenibilitat i proporciona doble visibilitat.</w:t>
      </w:r>
    </w:p>
    <w:p>
      <w:pPr>
        <w:pStyle w:val="Heading3"/>
        <w:spacing w:before="160" w:after="60"/>
      </w:pPr>
      <w:r>
        <w:rPr>
          <w:rFonts w:ascii="Calibri" w:hAnsi="Calibri"/>
          <w:b/>
          <w:i w:val="0"/>
          <w:color w:val="C0392B"/>
          <w:sz w:val="22"/>
        </w:rPr>
        <w:t>La bomba de rellotgeria demogràfica</w:t>
      </w:r>
    </w:p>
    <w:p>
      <w:pPr>
        <w:jc w:val="both"/>
        <w:spacing w:before="0" w:after="100" w:line="280" w:lineRule="auto"/>
      </w:pPr>
      <w:r>
        <w:rPr>
          <w:rFonts w:ascii="Calibri" w:hAnsi="Calibri"/>
          <w:b w:val="0"/>
          <w:i w:val="0"/>
          <w:color w:val="333333"/>
          <w:sz w:val="21"/>
        </w:rPr>
        <w:t>El 90% dels equips són infantils/mini, el 8% juvenils i només el 2% sèniors. Sense equips sèniors que generin un cicle de vida complet (jugador, tècnic, directiu), els clubs funcionen com a "guarderies esportives" amb un model financerament esgotat. Les dades indiquen un canvi generacional: les nenes fan més esport, els nens menys, i els clubs que aposten pel femení creixen mentre els que l'ignoren s'estanquen.</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VI. MODELS COMPARATS: MADRID, VALÈNCIA I TERRITORI CATALÀ</w:t>
      </w:r>
    </w:p>
    <w:p>
      <w:pPr>
        <w:pStyle w:val="Heading2"/>
        <w:pBdr>
          <w:bottom w:val="single" w:sz="4" w:space="1" w:color="1B5E8A"/>
        </w:pBdr>
        <w:spacing w:before="200" w:after="80"/>
      </w:pPr>
      <w:r>
        <w:rPr>
          <w:rFonts w:ascii="Calibri" w:hAnsi="Calibri"/>
          <w:b/>
          <w:i w:val="0"/>
          <w:color w:val="1A2E4A"/>
          <w:sz w:val="24"/>
        </w:rPr>
        <w:t>6.1. Madrid: profunditat sense paritat</w:t>
      </w:r>
    </w:p>
    <w:p>
      <w:pPr>
        <w:jc w:val="both"/>
        <w:spacing w:before="0" w:after="100" w:line="280" w:lineRule="auto"/>
      </w:pPr>
      <w:r>
        <w:rPr>
          <w:rFonts w:ascii="Calibri" w:hAnsi="Calibri"/>
          <w:b w:val="0"/>
          <w:i w:val="0"/>
          <w:color w:val="333333"/>
          <w:sz w:val="21"/>
        </w:rPr>
        <w:t>Madrid compta amb 3.012 equips federats i 21 equips en lligues FEB, enfront dels ~11 de Barcelona. Fuenlabrada, Rivas, Tres Cantos i Boadilla no tenen la identitat comunitària de La Seu d'Urgell però sí la infraestructura per competir. No obstant això, els clubs madrilenys operen amb la mateixa distribució pressupostària (~65% masculí) que els catalans. Madrid té més escales però les mateixes barreres a cada eslabó. La profunditat sense paritat és inútil.</w:t>
      </w:r>
    </w:p>
    <w:p>
      <w:pPr>
        <w:pStyle w:val="Heading2"/>
        <w:pBdr>
          <w:bottom w:val="single" w:sz="4" w:space="1" w:color="1B5E8A"/>
        </w:pBdr>
        <w:spacing w:before="200" w:after="80"/>
      </w:pPr>
      <w:r>
        <w:rPr>
          <w:rFonts w:ascii="Calibri" w:hAnsi="Calibri"/>
          <w:b/>
          <w:i w:val="0"/>
          <w:color w:val="1A2E4A"/>
          <w:sz w:val="24"/>
        </w:rPr>
        <w:t>6.2. València: integració vertical</w:t>
      </w:r>
    </w:p>
    <w:p>
      <w:pPr>
        <w:jc w:val="both"/>
        <w:spacing w:before="0" w:after="100" w:line="280" w:lineRule="auto"/>
      </w:pPr>
      <w:r>
        <w:rPr>
          <w:rFonts w:ascii="Calibri" w:hAnsi="Calibri"/>
          <w:b w:val="0"/>
          <w:i w:val="0"/>
          <w:color w:val="333333"/>
          <w:sz w:val="21"/>
        </w:rPr>
        <w:t>El Valencia Basket representa un model d'integració vertical: un únic club que opera a la màxima categoria tant masculina com femenina, amb una estructura professional única, compartint instal·lacions, serveis mèdics i marca. Aquest model concentra tots els recursos en un projecte i genera massa crítica, però la seva dependència d'un únic agent el fa vulnerable al col·lapse si l'entitat mare canvia de prioritats.</w:t>
      </w:r>
    </w:p>
    <w:p>
      <w:pPr>
        <w:pStyle w:val="Heading2"/>
        <w:pBdr>
          <w:bottom w:val="single" w:sz="4" w:space="1" w:color="1B5E8A"/>
        </w:pBdr>
        <w:spacing w:before="200" w:after="80"/>
      </w:pPr>
      <w:r>
        <w:rPr>
          <w:rFonts w:ascii="Calibri" w:hAnsi="Calibri"/>
          <w:b/>
          <w:i w:val="0"/>
          <w:color w:val="1A2E4A"/>
          <w:sz w:val="24"/>
        </w:rPr>
        <w:t>6.3. Girona: èxit top-down</w:t>
      </w:r>
    </w:p>
    <w:p>
      <w:pPr>
        <w:jc w:val="both"/>
        <w:spacing w:before="0" w:after="100" w:line="280" w:lineRule="auto"/>
      </w:pPr>
      <w:r>
        <w:rPr>
          <w:rFonts w:ascii="Calibri" w:hAnsi="Calibri"/>
          <w:b w:val="0"/>
          <w:i w:val="0"/>
          <w:color w:val="333333"/>
          <w:sz w:val="21"/>
        </w:rPr>
        <w:t>Spar Girona juga a la LF Endesa, la màxima categoria. Però el patró ocult és la seva vulnerabilitat: depèn d'un patrocinador principal (Spar), del suport municipal i d'un pavelló (Fontajau). Si qualsevol d'aquests tres elements desapareix, el projecte està en risc. És un model d'èxit però amb fragilitat estructural.</w:t>
      </w:r>
    </w:p>
    <w:p>
      <w:pPr>
        <w:pStyle w:val="Heading2"/>
        <w:pBdr>
          <w:bottom w:val="single" w:sz="4" w:space="1" w:color="1B5E8A"/>
        </w:pBdr>
        <w:spacing w:before="200" w:after="80"/>
      </w:pPr>
      <w:r>
        <w:rPr>
          <w:rFonts w:ascii="Calibri" w:hAnsi="Calibri"/>
          <w:b/>
          <w:i w:val="0"/>
          <w:color w:val="1A2E4A"/>
          <w:sz w:val="24"/>
        </w:rPr>
        <w:t>6.4. La Seu d'Urgell: identitat concentrada</w:t>
      </w:r>
    </w:p>
    <w:p>
      <w:pPr>
        <w:jc w:val="both"/>
        <w:spacing w:before="0" w:after="100" w:line="280" w:lineRule="auto"/>
      </w:pPr>
      <w:r>
        <w:rPr>
          <w:rFonts w:ascii="Calibri" w:hAnsi="Calibri"/>
          <w:b w:val="0"/>
          <w:i w:val="0"/>
          <w:color w:val="333333"/>
          <w:sz w:val="21"/>
        </w:rPr>
        <w:t>La Seu (12.000 habitants) té una taxa de conversió del 12,5%, la més alta de l'estudi. El factor diferencial no és el pressupost sinó la identitat comunitària concentrada. Això obre una possibilitat: Barcelona no necessita un "pla de ciutat" centralitzat sinó 10-15 clubs que operin com a "micro-La Seus" en els seus barris respectius.</w:t>
      </w:r>
    </w:p>
    <w:p>
      <w:pPr>
        <w:pStyle w:val="Heading2"/>
        <w:pBdr>
          <w:bottom w:val="single" w:sz="4" w:space="1" w:color="1B5E8A"/>
        </w:pBdr>
        <w:spacing w:before="200" w:after="80"/>
      </w:pPr>
      <w:r>
        <w:rPr>
          <w:rFonts w:ascii="Calibri" w:hAnsi="Calibri"/>
          <w:b/>
          <w:i w:val="0"/>
          <w:color w:val="1A2E4A"/>
          <w:sz w:val="24"/>
        </w:rPr>
        <w:t>6.5. Mataró: pol d'atracció metropolità</w:t>
      </w:r>
    </w:p>
    <w:p>
      <w:pPr>
        <w:jc w:val="both"/>
        <w:spacing w:before="0" w:after="100" w:line="280" w:lineRule="auto"/>
      </w:pPr>
      <w:r>
        <w:rPr>
          <w:rFonts w:ascii="Calibri" w:hAnsi="Calibri"/>
          <w:b w:val="0"/>
          <w:i w:val="0"/>
          <w:color w:val="333333"/>
          <w:sz w:val="21"/>
        </w:rPr>
        <w:t>Amb 130.000 habitants i dos equips a LF2, Mataró absorbeix talent femení de Barcelona. És el receptor natural de la fuga de talent barcelonina: jugadores formades a la capital que migren a clubs que els hi ofereixen competició estatal i condicions econòmiques.</w:t>
      </w:r>
    </w:p>
    <w:p>
      <w:pPr>
        <w:pStyle w:val="Heading2"/>
        <w:pBdr>
          <w:bottom w:val="single" w:sz="4" w:space="1" w:color="1B5E8A"/>
        </w:pBdr>
        <w:spacing w:before="200" w:after="80"/>
      </w:pPr>
      <w:r>
        <w:rPr>
          <w:rFonts w:ascii="Calibri" w:hAnsi="Calibri"/>
          <w:b/>
          <w:i w:val="0"/>
          <w:color w:val="1A2E4A"/>
          <w:sz w:val="24"/>
        </w:rPr>
        <w:t>6.6. Comparativa de taxes de conversió</w:t>
      </w:r>
    </w:p>
    <w:p/>
    <w:p>
      <w:pPr>
        <w:jc w:val="both"/>
        <w:spacing w:before="0" w:after="100" w:line="280" w:lineRule="auto"/>
      </w:pPr>
      <w:r>
        <w:rPr>
          <w:rFonts w:ascii="Calibri" w:hAnsi="Calibri"/>
          <w:b w:val="0"/>
          <w:i w:val="0"/>
          <w:color w:val="333333"/>
          <w:sz w:val="21"/>
        </w:rPr>
        <w:t>La conversió és inversament proporcional a la població. Les ciutats grans dilueixen l'atenció i els recursos; les petites els concentren. La solució és crear "micro-La Seus" dins de Barcelona.</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PART VII. PROPOSTES D'ACTUACIÓ: PLA "BARCELONA, CAPITAL DEL BÀSQUET"</w:t>
      </w:r>
    </w:p>
    <w:p>
      <w:pPr>
        <w:jc w:val="both"/>
        <w:spacing w:before="0" w:after="100" w:line="280" w:lineRule="auto"/>
      </w:pPr>
      <w:r>
        <w:rPr>
          <w:rFonts w:ascii="Calibri" w:hAnsi="Calibri"/>
          <w:b w:val="0"/>
          <w:i w:val="0"/>
          <w:color w:val="333333"/>
          <w:sz w:val="21"/>
        </w:rPr>
        <w:t>Les dades documentades en les parts anteriors configuren un diagnòstic clar. A continuació es formulen propostes articulades en cinc eixos, amb accions concretes i indicadors de seguiment. Les propostes estan formulades com a oportunitats d'inversió per a la ciutat, no com a crítiques a la gestió actual.</w:t>
      </w:r>
    </w:p>
    <w:p>
      <w:pPr>
        <w:pStyle w:val="Heading2"/>
        <w:pBdr>
          <w:bottom w:val="single" w:sz="4" w:space="1" w:color="1B5E8A"/>
        </w:pBdr>
        <w:spacing w:before="200" w:after="80"/>
      </w:pPr>
      <w:r>
        <w:rPr>
          <w:rFonts w:ascii="Calibri" w:hAnsi="Calibri"/>
          <w:b/>
          <w:i w:val="0"/>
          <w:color w:val="1A2E4A"/>
          <w:sz w:val="24"/>
        </w:rPr>
        <w:t>7.1. Eix 1: Infraestructures i accés prioritari</w:t>
      </w:r>
    </w:p>
    <w:p>
      <w:pPr>
        <w:jc w:val="both"/>
        <w:spacing w:before="0" w:after="100" w:line="280" w:lineRule="auto"/>
      </w:pPr>
      <w:r>
        <w:rPr>
          <w:rFonts w:ascii="Calibri" w:hAnsi="Calibri"/>
          <w:b w:val="0"/>
          <w:i w:val="0"/>
          <w:color w:val="333333"/>
          <w:sz w:val="21"/>
        </w:rPr>
        <w:t>Objectiu: garantir que els projectes femenins competitius disposin d'instal·lacions adequades i horaris prime time.</w:t>
      </w:r>
    </w:p>
    <w:p>
      <w:pPr>
        <w:jc w:val="both"/>
        <w:spacing w:before="0" w:after="100" w:line="280" w:lineRule="auto"/>
      </w:pPr>
      <w:r>
        <w:rPr>
          <w:rFonts w:ascii="Calibri" w:hAnsi="Calibri"/>
          <w:b w:val="0"/>
          <w:i w:val="0"/>
          <w:color w:val="333333"/>
          <w:sz w:val="21"/>
        </w:rPr>
        <w:t>Accions: crear un Protocol de Franges Prioritàries que reservi el 30% dels horaris 18:00-21:00h en pavellons clau per a equips femenins sènior competitius; designar pavellons de referència amb millores tècniques per a retransmissions; invertir en millores a CEM Horta, Poliesportiu Guinardó i altres instal·lacions. Pressupost estimat: 400.000€ anuals.</w:t>
      </w:r>
    </w:p>
    <w:p>
      <w:pPr>
        <w:pStyle w:val="Heading2"/>
        <w:pBdr>
          <w:bottom w:val="single" w:sz="4" w:space="1" w:color="1B5E8A"/>
        </w:pBdr>
        <w:spacing w:before="200" w:after="80"/>
      </w:pPr>
      <w:r>
        <w:rPr>
          <w:rFonts w:ascii="Calibri" w:hAnsi="Calibri"/>
          <w:b/>
          <w:i w:val="0"/>
          <w:color w:val="1A2E4A"/>
          <w:sz w:val="24"/>
        </w:rPr>
        <w:t>7.2. Eix 2: Finançament directe a clubs</w:t>
      </w:r>
    </w:p>
    <w:p>
      <w:pPr>
        <w:jc w:val="both"/>
        <w:spacing w:before="0" w:after="100" w:line="280" w:lineRule="auto"/>
      </w:pPr>
      <w:r>
        <w:rPr>
          <w:rFonts w:ascii="Calibri" w:hAnsi="Calibri"/>
          <w:b w:val="0"/>
          <w:i w:val="0"/>
          <w:color w:val="333333"/>
          <w:sz w:val="21"/>
        </w:rPr>
        <w:t>Objectiu: crear un Fons Municipal Competitiu amb subvencions condicionades a objectius mesurables.</w:t>
      </w:r>
    </w:p>
    <w:p>
      <w:pPr>
        <w:jc w:val="both"/>
        <w:spacing w:before="0" w:after="100" w:line="280" w:lineRule="auto"/>
      </w:pPr>
      <w:r>
        <w:rPr>
          <w:rFonts w:ascii="Calibri" w:hAnsi="Calibri"/>
          <w:b w:val="0"/>
          <w:i w:val="0"/>
          <w:color w:val="333333"/>
          <w:sz w:val="21"/>
        </w:rPr>
        <w:t>Accions: subvencions de 80.000€ per equip a LF2, 50.000€ per equip a LF Challenge i 25.000€ per equip a Super Copa amb projecte femení consolidat; Programa de Beques Socials de 300 beques de 600€ per a nenes de famílies vulnerables; ajuts per a fisioterapeutes. Pressupost estimat: 500.000€ anuals.</w:t>
      </w:r>
    </w:p>
    <w:p>
      <w:pPr>
        <w:pStyle w:val="Heading2"/>
        <w:pBdr>
          <w:bottom w:val="single" w:sz="4" w:space="1" w:color="1B5E8A"/>
        </w:pBdr>
        <w:spacing w:before="200" w:after="80"/>
      </w:pPr>
      <w:r>
        <w:rPr>
          <w:rFonts w:ascii="Calibri" w:hAnsi="Calibri"/>
          <w:b/>
          <w:i w:val="0"/>
          <w:color w:val="1A2E4A"/>
          <w:sz w:val="24"/>
        </w:rPr>
        <w:t>7.3. Eix 3: Esdeveniments i visibilitat</w:t>
      </w:r>
    </w:p>
    <w:p>
      <w:pPr>
        <w:jc w:val="both"/>
        <w:spacing w:before="0" w:after="100" w:line="280" w:lineRule="auto"/>
      </w:pPr>
      <w:r>
        <w:rPr>
          <w:rFonts w:ascii="Calibri" w:hAnsi="Calibri"/>
          <w:b w:val="0"/>
          <w:i w:val="0"/>
          <w:color w:val="333333"/>
          <w:sz w:val="21"/>
        </w:rPr>
        <w:t>Objectiu: convertir Barcelona en seu d'esdeveniments femenins estatals i internacionals.</w:t>
      </w:r>
    </w:p>
    <w:p>
      <w:pPr>
        <w:jc w:val="both"/>
        <w:spacing w:before="0" w:after="100" w:line="280" w:lineRule="auto"/>
      </w:pPr>
      <w:r>
        <w:rPr>
          <w:rFonts w:ascii="Calibri" w:hAnsi="Calibri"/>
          <w:b w:val="0"/>
          <w:i w:val="0"/>
          <w:color w:val="333333"/>
          <w:sz w:val="21"/>
        </w:rPr>
        <w:t>Accions: captar una gran cita anual (Final Four LF Challenge, Copa Catalunya Femenina o fase FIBA); crear un Circuit Municipal 3x3 Femení per districtes amb 200-300 participants; organitzar la Setmana del Bàsquet Femení. Pressupost estimat: 350.000€ anuals.</w:t>
      </w:r>
    </w:p>
    <w:p>
      <w:pPr>
        <w:pStyle w:val="Heading2"/>
        <w:pBdr>
          <w:bottom w:val="single" w:sz="4" w:space="1" w:color="1B5E8A"/>
        </w:pBdr>
        <w:spacing w:before="200" w:after="80"/>
      </w:pPr>
      <w:r>
        <w:rPr>
          <w:rFonts w:ascii="Calibri" w:hAnsi="Calibri"/>
          <w:b/>
          <w:i w:val="0"/>
          <w:color w:val="1A2E4A"/>
          <w:sz w:val="24"/>
        </w:rPr>
        <w:t>7.4. Eix 4: Tecnificació i formació</w:t>
      </w:r>
    </w:p>
    <w:p>
      <w:pPr>
        <w:jc w:val="both"/>
        <w:spacing w:before="0" w:after="100" w:line="280" w:lineRule="auto"/>
      </w:pPr>
      <w:r>
        <w:rPr>
          <w:rFonts w:ascii="Calibri" w:hAnsi="Calibri"/>
          <w:b w:val="0"/>
          <w:i w:val="0"/>
          <w:color w:val="333333"/>
          <w:sz w:val="21"/>
        </w:rPr>
        <w:t>Objectiu: crear un programa municipal que retingui talent i formi entrenadores.</w:t>
      </w:r>
    </w:p>
    <w:p>
      <w:pPr>
        <w:jc w:val="both"/>
        <w:spacing w:before="0" w:after="100" w:line="280" w:lineRule="auto"/>
      </w:pPr>
      <w:r>
        <w:rPr>
          <w:rFonts w:ascii="Calibri" w:hAnsi="Calibri"/>
          <w:b w:val="0"/>
          <w:i w:val="0"/>
          <w:color w:val="333333"/>
          <w:sz w:val="21"/>
        </w:rPr>
        <w:t>Accions: Escola Municipal de Tecnificació Femenina U14-U18 amb seguiment de 40-60 jugadores d'alt potencial; Programa de Beques per a Entrenadores amb formació gratuïta i pràctiques remunerades; convenis universitaris per a itineraris esport-estudis. Pressupost estimat: 400.000€ anuals.</w:t>
      </w:r>
    </w:p>
    <w:p>
      <w:pPr>
        <w:pStyle w:val="Heading2"/>
        <w:pBdr>
          <w:bottom w:val="single" w:sz="4" w:space="1" w:color="1B5E8A"/>
        </w:pBdr>
        <w:spacing w:before="200" w:after="80"/>
      </w:pPr>
      <w:r>
        <w:rPr>
          <w:rFonts w:ascii="Calibri" w:hAnsi="Calibri"/>
          <w:b/>
          <w:i w:val="0"/>
          <w:color w:val="1A2E4A"/>
          <w:sz w:val="24"/>
        </w:rPr>
        <w:t>7.5. Eix 5: Comunicació i retransmissions</w:t>
      </w:r>
    </w:p>
    <w:p>
      <w:pPr>
        <w:jc w:val="both"/>
        <w:spacing w:before="0" w:after="100" w:line="280" w:lineRule="auto"/>
      </w:pPr>
      <w:r>
        <w:rPr>
          <w:rFonts w:ascii="Calibri" w:hAnsi="Calibri"/>
          <w:b w:val="0"/>
          <w:i w:val="0"/>
          <w:color w:val="333333"/>
          <w:sz w:val="21"/>
        </w:rPr>
        <w:t>Objectiu: augmentar la visibilitat mediàtica del bàsquet femení barceloní.</w:t>
      </w:r>
    </w:p>
    <w:p>
      <w:pPr>
        <w:jc w:val="both"/>
        <w:spacing w:before="0" w:after="100" w:line="280" w:lineRule="auto"/>
      </w:pPr>
      <w:r>
        <w:rPr>
          <w:rFonts w:ascii="Calibri" w:hAnsi="Calibri"/>
          <w:b w:val="0"/>
          <w:i w:val="0"/>
          <w:color w:val="333333"/>
          <w:sz w:val="21"/>
        </w:rPr>
        <w:t>Accions: 4 partits mensuals en streaming en col·laboració amb BTV; contingut audiovisual per a xarxes socials; Protocol de Reconeixement Institucional amb recepcions. Pressupost estimat: 300.000€ anuals.</w:t>
      </w:r>
    </w:p>
    <w:p>
      <w:pPr>
        <w:pStyle w:val="Heading2"/>
        <w:pBdr>
          <w:bottom w:val="single" w:sz="4" w:space="1" w:color="1B5E8A"/>
        </w:pBdr>
        <w:spacing w:before="200" w:after="80"/>
      </w:pPr>
      <w:r>
        <w:rPr>
          <w:rFonts w:ascii="Calibri" w:hAnsi="Calibri"/>
          <w:b/>
          <w:i w:val="0"/>
          <w:color w:val="1A2E4A"/>
          <w:sz w:val="24"/>
        </w:rPr>
        <w:t>7.6. Indicadors de seguiment (KPI)</w:t>
      </w:r>
    </w:p>
    <w:p/>
    <w:p>
      <w:pPr>
        <w:pStyle w:val="Heading2"/>
        <w:pBdr>
          <w:bottom w:val="single" w:sz="4" w:space="1" w:color="1B5E8A"/>
        </w:pBdr>
        <w:spacing w:before="200" w:after="80"/>
      </w:pPr>
      <w:r>
        <w:rPr>
          <w:rFonts w:ascii="Calibri" w:hAnsi="Calibri"/>
          <w:b/>
          <w:i w:val="0"/>
          <w:color w:val="1A2E4A"/>
          <w:sz w:val="24"/>
        </w:rPr>
        <w:t>7.7. Recomanacions per a polítiques d'igualtat</w:t>
      </w:r>
    </w:p>
    <w:p>
      <w:pPr>
        <w:jc w:val="both"/>
        <w:spacing w:before="0" w:after="100" w:line="280" w:lineRule="auto"/>
      </w:pPr>
      <w:r>
        <w:rPr>
          <w:rFonts w:ascii="Calibri" w:hAnsi="Calibri"/>
          <w:b w:val="0"/>
          <w:i w:val="0"/>
          <w:color w:val="333333"/>
          <w:sz w:val="21"/>
        </w:rPr>
        <w:t>Vincular subvencions a equilibri de gènere (mínim 40% d'equips femenins per rebre ajudes); inversió basada en rendiment competitiu, no en gènere; incentivar la presència femenina en juntes directives; transparència pressupostària obligatòria amb desglossament per gènere; establir terminis de tres anys perquè els clubs creïn estructura femenina.</w:t>
      </w:r>
    </w:p>
    <w:p>
      <w:pPr>
        <w:pStyle w:val="Heading2"/>
        <w:pBdr>
          <w:bottom w:val="single" w:sz="4" w:space="1" w:color="1B5E8A"/>
        </w:pBdr>
        <w:spacing w:before="200" w:after="80"/>
      </w:pPr>
      <w:r>
        <w:rPr>
          <w:rFonts w:ascii="Calibri" w:hAnsi="Calibri"/>
          <w:b/>
          <w:i w:val="0"/>
          <w:color w:val="1A2E4A"/>
          <w:sz w:val="24"/>
        </w:rPr>
        <w:t>7.8. Recomanacions per a clubs</w:t>
      </w:r>
    </w:p>
    <w:p>
      <w:pPr>
        <w:jc w:val="both"/>
        <w:spacing w:before="0" w:after="100" w:line="280" w:lineRule="auto"/>
      </w:pPr>
      <w:r>
        <w:rPr>
          <w:rFonts w:ascii="Calibri" w:hAnsi="Calibri"/>
          <w:b w:val="0"/>
          <w:i w:val="0"/>
          <w:color w:val="333333"/>
          <w:sz w:val="21"/>
        </w:rPr>
        <w:t>Desenvolupament obligatori de secció femenina amb terminis concrets; equiparació de recursos tècnics (entrenadors titulats, instal·lacions, horaris i serveis mèdics iguals per a ambdues seccions); visibilitat equitativa a xarxes socials; creació de programes de retenció sènior per mantenir jugadors i jugadores adults vinculats al club.</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CONCLUSIONS I PERSPECTIVES DE FUTUR</w:t>
      </w:r>
    </w:p>
    <w:p>
      <w:pPr>
        <w:jc w:val="both"/>
        <w:spacing w:before="0" w:after="100" w:line="280" w:lineRule="auto"/>
      </w:pPr>
      <w:r>
        <w:rPr>
          <w:rFonts w:ascii="Calibri" w:hAnsi="Calibri"/>
          <w:b w:val="0"/>
          <w:i w:val="0"/>
          <w:color w:val="333333"/>
          <w:sz w:val="21"/>
        </w:rPr>
        <w:t>La investigació documentada en aquest informe no deixa marge per a la complaença. Les dades parlen d'un sistema que genera talent femení de manera sostinguda i sistemàtica —157.432 llicenciades a Espanya, 25.965 a Catalunya, 134 equips formatius a Barcelona— però que no ha construït les condicions perquè aquest talent trobi un destí competitiu digne. No estem davant d'un problema de demanda, sinó d'oferta estructural. No és que les noies no vulguin jugar: és que el sistema no ha construït els espais on puguin fer-ho.</w:t>
      </w:r>
    </w:p>
    <w:p>
      <w:pPr>
        <w:jc w:val="both"/>
        <w:spacing w:before="0" w:after="100" w:line="280" w:lineRule="auto"/>
      </w:pPr>
      <w:r>
        <w:rPr>
          <w:rFonts w:ascii="Calibri" w:hAnsi="Calibri"/>
          <w:b w:val="0"/>
          <w:i w:val="0"/>
          <w:color w:val="333333"/>
          <w:sz w:val="21"/>
        </w:rPr>
        <w:t>La paradoxa fonamental que atravessa tot l'informe és al mateix temps un diagnòstic i una oportunitat. El bàsquet femení creix a escala global a un ritme sense precedents: la WNBA ha experimentat un augment de valoració del 183% en un sol any, les jugadores generen audiències milionàries, i l'efecte Caitlin Clark ha demostrat que el talent femení, quan rep visibilitat, genera retorns immediats i mesurables. A Espanya, el 67% del creixement del sector bàsquet prové de noves llicències femenines. Tanmateix, les estructures de poder, finançament i governança continuen operant com si aquest creixement no existís. La bretxa no és un residu del passat: és una construcció activa del present.</w:t>
      </w:r>
    </w:p>
    <w:p>
      <w:pPr>
        <w:jc w:val="both"/>
        <w:spacing w:before="0" w:after="100" w:line="280" w:lineRule="auto"/>
      </w:pPr>
      <w:r>
        <w:rPr>
          <w:rFonts w:ascii="Calibri" w:hAnsi="Calibri"/>
          <w:b w:val="0"/>
          <w:i w:val="0"/>
          <w:color w:val="333333"/>
          <w:sz w:val="21"/>
        </w:rPr>
        <w:t>El cas de Barcelona és paradigmàtic en el pitjor sentit. Una ciutat de 1,6 milions d'habitants, capital d'una de les comunitats autònomes amb més presència al bàsquet estatal masculí, amb 134 equips formatius femenins actius, té una taxa de conversió base-èlit del 0,75%. Aquesta xifra no és un accidentalitat: és el resultat mesurable d'un sistema que no ha invertit en crear els ponts entre la formació i la competició d'alt nivell. Municipis amb una fracció dels recursos de Barcelona —La Seu d'Urgell (12.000 habitants, 12,5% de conversió), Girona (103.000 habitants, 6,7%), Mataró (130.000 habitants, 4%)— demostren que la solució no és pressupost sinó visió estratègica i compromís institucional.</w:t>
      </w:r>
    </w:p>
    <w:p>
      <w:pPr>
        <w:jc w:val="both"/>
        <w:spacing w:before="0" w:after="100" w:line="280" w:lineRule="auto"/>
      </w:pPr>
      <w:r>
        <w:rPr>
          <w:rFonts w:ascii="Calibri" w:hAnsi="Calibri"/>
          <w:b w:val="0"/>
          <w:i w:val="0"/>
          <w:color w:val="333333"/>
          <w:sz w:val="21"/>
        </w:rPr>
        <w:t>La governança és el nus gordià del problema. El 100% dels presidents dels clubs analitzats a Barcelona són homes. Aquesta xifra no és accidental: és la conseqüència d'un sistema auto-reproductor on les decisions de distribució de recursos les prenen persones que mai han experimentat la desigualtat que perpetuen. L'escala de reconeixement és trencada: el 35,7% de llicències femenines es dilueix fins a un 9% en el Curs Superior d'Entrenador i un 0% en les presidències de clubs. Sense intervenció deliberada i mesurada, la bretxa generacional s'autoperpetua durant dècades més.</w:t>
      </w:r>
    </w:p>
    <w:p>
      <w:pPr>
        <w:jc w:val="both"/>
        <w:spacing w:before="0" w:after="100" w:line="280" w:lineRule="auto"/>
      </w:pPr>
      <w:r>
        <w:rPr>
          <w:rFonts w:ascii="Calibri" w:hAnsi="Calibri"/>
          <w:b w:val="0"/>
          <w:i w:val="0"/>
          <w:color w:val="333333"/>
          <w:sz w:val="21"/>
        </w:rPr>
        <w:t>Les cinc teories originals formulades en aquesta investigació —Mercat Invisible, Escala de Reconeixement, Irreversibilitat Cultural, Desfasament Generacional i Autenticitat Productiva— no són construccions teòriques abstractes. Són eines conceptuals destil·lades a partir de dades reals, comparatives i entrevistes que permeten diagnosticar amb precisió els mecanismes que perpetuen la bretxa. La Teoria del Mercat Invisible postula que el primer club que corregeixi la infravaloració del talent femení captarà un excedent competitiu a cost marginal baix. La Teoria de la Irreversibilitat Cultural indica que existeix un llindar a partir del qual la paritat es torna auto-reproductiva i ja no requereix polítiques correctives. La Teoria del Desfasament Generacional adverteix que les polítiques de captació no resolen el problema del poder: cal actuar sobre la promoció i el lideratge de forma contemporània, no esperar dues o tres generacions. Aquestes teories proporcionen al camp de la gestió esportiva un marc rigorós per dissenyar intervencions eficaces i mesurar-ne l'impacte.</w:t>
      </w:r>
    </w:p>
    <w:p>
      <w:pPr>
        <w:jc w:val="both"/>
        <w:spacing w:before="0" w:after="100" w:line="280" w:lineRule="auto"/>
      </w:pPr>
      <w:r>
        <w:rPr>
          <w:rFonts w:ascii="Calibri" w:hAnsi="Calibri"/>
          <w:b w:val="0"/>
          <w:i w:val="0"/>
          <w:color w:val="333333"/>
          <w:sz w:val="21"/>
        </w:rPr>
        <w:t>Els models de referència documentats en aquest informe —La Seu d'Urgell, Spar Girona, i especialment el CB Grup Barna amb el seu Mètode Barna— demostren que una altra gestió és possible dins del mateix ecosistema, amb recursos ordinaris i sense dependències externes. El Mètode Barna és particularment rellevant perquè opera exactament on el sistema falla: en un barri de Barcelona, amb un pressupost autosostenible, sense macroentitats ni subvencions extraordinàries, i ha assolit el 50% d'inversió paritària, el 65,5% de staff tècnic femení i el 53,7% d'audiència femenina a xarxes socials. Aquests no són indicadors d'un programa d'igualtat: són els resultats d'un sistema de gestió que elimina les condicions que generen desigualtat. La seva potencial ascensió a LF2 la temporada 2026-27 representaria un punt d'inflexió simbòlic i pràctic per al bàsquet femení barceloní.</w:t>
      </w:r>
    </w:p>
    <w:p>
      <w:pPr>
        <w:jc w:val="both"/>
        <w:spacing w:before="0" w:after="100" w:line="280" w:lineRule="auto"/>
      </w:pPr>
      <w:r>
        <w:rPr>
          <w:rFonts w:ascii="Calibri" w:hAnsi="Calibri"/>
          <w:b w:val="0"/>
          <w:i w:val="0"/>
          <w:color w:val="333333"/>
          <w:sz w:val="21"/>
        </w:rPr>
        <w:t>La projecció cap al 2028-2030 és alhora exigent i realista. Si les propostes articulades en el Pla "Barcelona, Capital del Bàsquet" s'implementen amb la coherència i el compromís institucional necessaris, els objectius marcats són assolibles: 1-2 equips de Barcelona a LF2 femení, 2-3 equips a LF Challenge, 30 entrenadores formades, 6 pavellons amb franges prioritàries femenines i 300 beques socials per a nenes de famílies vulnerables. Però el canvi més significatiu no és comptable: és cultural. Per al 2030, Barcelona hauria de ser capaç de dir que cap nena que comenci a jugar a bàsquet en qualsevol barri de la ciutat es veu forçada a abandonar per manca de referents, per absència d'equip on continuar o per horaris que la converteixen en una prioritat secundària. Això és el que significa eliminar la bretxa de gènere en el bàsquet, i és exactament el que fa possible la inversió en estructura femenina.</w:t>
      </w:r>
    </w:p>
    <w:p>
      <w:pPr>
        <w:jc w:val="both"/>
        <w:spacing w:before="0" w:after="100" w:line="280" w:lineRule="auto"/>
      </w:pPr>
      <w:r>
        <w:rPr>
          <w:rFonts w:ascii="Calibri" w:hAnsi="Calibri"/>
          <w:b w:val="0"/>
          <w:i w:val="0"/>
          <w:color w:val="333333"/>
          <w:sz w:val="21"/>
        </w:rPr>
        <w:t>El Mètode Barna mereix una reflexió específica com a model replicable. La seva fortalesa no resideix en el volum de recursos —el club opera amb un pressupost de 140.000-160.000€ anuals, una xifra modesta en el context del bàsquet estatal— sinó en la coherència sistèmica: el 50% d'inversió paritària, el pipeline de lideratge femení en sis fases, la cultura de l'autenticitat que genera fidelitat orgànica, i la sostenibilitat estructural que no depèn de cap macroentitat. La "Xarxa Mètode Barna", proposada com a objectiu de mig termini, podria articular 5-10 clubs barcelonins que adoptessin els mateixos principis, creant una massa crítica suficient per transformar l'ecosistema femení de la ciutat sense necessitat d'un pla centralitzat. La certificació en quatre nivells —Compromís, Implementació, Consolidació, Excel·lència— proporcionaria una hoja de ruta clara per a qualsevol club que volgués iniciar la transició.</w:t>
      </w:r>
    </w:p>
    <w:p>
      <w:pPr>
        <w:shd w:val="clear" w:color="auto" w:fill="F0F4FA"/>
        <w:pBdr>
          <w:left w:val="single" w:sz="18" w:space="4" w:color="C0392B"/>
        </w:pBdr>
        <w:ind w:left="360"/>
        <w:spacing w:before="160" w:after="160"/>
      </w:pPr>
      <w:r>
        <w:rPr>
          <w:rFonts w:ascii="Calibri" w:hAnsi="Calibri"/>
          <w:b/>
          <w:i w:val="0"/>
          <w:color w:val="1A2E4A"/>
          <w:sz w:val="22"/>
        </w:rPr>
        <w:t xml:space="preserve">Crida a l'acció. </w:t>
      </w:r>
      <w:r>
        <w:rPr>
          <w:rFonts w:ascii="Calibri" w:hAnsi="Calibri"/>
          <w:b w:val="0"/>
          <w:i w:val="0"/>
          <w:color w:val="333333"/>
          <w:sz w:val="21"/>
        </w:rPr>
        <w:t>Als clubs: assumiu la paritat com a estratègia, no com a obligació. Als ajuntaments i a l'Institut Barcelona Esports: vinculeu les subvencions a indicadors reals d'igualtat i invertiu en infraestructura femenina amb la mateixa ambició amb què ho feu en el masculí. A la Federació Catalana de Basquetbol: normalitzeu les entrenadores sense carnet, creeu itineraris de titulació accessibles i garantiu que la xarxa de clubs femení de Barcelona tingui un present i un futur competitiu. I a totes les parts: recordeu que el talent femení del bàsquet barceloní no demana privilegis, sinó les mateixes condicions que el masculí porta dècades gaudint. La investigació ha demostrat que quan la inversió arriba, els resultats arriben amb ella. El moment de decidir és ara.</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BIBLIOGRAFIA</w:t>
      </w:r>
    </w:p>
    <w:p>
      <w:pPr>
        <w:ind w:left="360" w:hanging="360"/>
        <w:jc w:val="both"/>
        <w:spacing w:before="0" w:after="80" w:line="276" w:lineRule="auto"/>
      </w:pPr>
      <w:r>
        <w:rPr>
          <w:rFonts w:ascii="Calibri" w:hAnsi="Calibri"/>
          <w:b w:val="0"/>
          <w:i w:val="0"/>
          <w:color w:val="333333"/>
          <w:sz w:val="20"/>
        </w:rPr>
        <w:t>Acosta, R.V., i Carpenter, L.J. (2014). Women in Intercollegiate Sport: A Longitudinal, National Study, Thirty-Seven Year Update. Brooklyn College.</w:t>
      </w:r>
    </w:p>
    <w:p>
      <w:pPr>
        <w:ind w:left="360" w:hanging="360"/>
        <w:jc w:val="both"/>
        <w:spacing w:before="0" w:after="80" w:line="276" w:lineRule="auto"/>
      </w:pPr>
      <w:r>
        <w:rPr>
          <w:rFonts w:ascii="Calibri" w:hAnsi="Calibri"/>
          <w:b w:val="0"/>
          <w:i w:val="0"/>
          <w:color w:val="333333"/>
          <w:sz w:val="20"/>
        </w:rPr>
        <w:t>Basso, J.C., i Suzuki, W.A. (2016). The effects of acute exercise on mood, cognition, neurophysiology, and neurochemical pathways. Brain Plasticity, 2(2), 127-152.</w:t>
      </w:r>
    </w:p>
    <w:p>
      <w:pPr>
        <w:ind w:left="360" w:hanging="360"/>
        <w:jc w:val="both"/>
        <w:spacing w:before="0" w:after="80" w:line="276" w:lineRule="auto"/>
      </w:pPr>
      <w:r>
        <w:rPr>
          <w:rFonts w:ascii="Calibri" w:hAnsi="Calibri"/>
          <w:b w:val="0"/>
          <w:i w:val="0"/>
          <w:color w:val="333333"/>
          <w:sz w:val="20"/>
        </w:rPr>
        <w:t>Basterfield, L., et al. (2016). Longitudinal study of physical activity and sedentary behaviour in children. Pediatrics, 138(3).</w:t>
      </w:r>
    </w:p>
    <w:p>
      <w:pPr>
        <w:ind w:left="360" w:hanging="360"/>
        <w:jc w:val="both"/>
        <w:spacing w:before="0" w:after="80" w:line="276" w:lineRule="auto"/>
      </w:pPr>
      <w:r>
        <w:rPr>
          <w:rFonts w:ascii="Calibri" w:hAnsi="Calibri"/>
          <w:b w:val="0"/>
          <w:i w:val="0"/>
          <w:color w:val="333333"/>
          <w:sz w:val="20"/>
        </w:rPr>
        <w:t>Bidzan-Bluma, I., i Lipowska, M. (2018). Physical activity and cognitive functioning of children. International Journal of Environmental Research and Public Health, 15(4), 800.</w:t>
      </w:r>
    </w:p>
    <w:p>
      <w:pPr>
        <w:ind w:left="360" w:hanging="360"/>
        <w:jc w:val="both"/>
        <w:spacing w:before="0" w:after="80" w:line="276" w:lineRule="auto"/>
      </w:pPr>
      <w:r>
        <w:rPr>
          <w:rFonts w:ascii="Calibri" w:hAnsi="Calibri"/>
          <w:b w:val="0"/>
          <w:i w:val="0"/>
          <w:color w:val="333333"/>
          <w:sz w:val="20"/>
        </w:rPr>
        <w:t>Bronfenbrenner, U. (1979). The Ecology of Human Development. Harvard University Press.</w:t>
      </w:r>
    </w:p>
    <w:p>
      <w:pPr>
        <w:ind w:left="360" w:hanging="360"/>
        <w:jc w:val="both"/>
        <w:spacing w:before="0" w:after="80" w:line="276" w:lineRule="auto"/>
      </w:pPr>
      <w:r>
        <w:rPr>
          <w:rFonts w:ascii="Calibri" w:hAnsi="Calibri"/>
          <w:b w:val="0"/>
          <w:i w:val="0"/>
          <w:color w:val="333333"/>
          <w:sz w:val="20"/>
        </w:rPr>
        <w:t>CB Grup Barna (2026). Dossier 8M: Talent Sense Reconèixer. Presentat a la FCBQ, març 2026.</w:t>
      </w:r>
    </w:p>
    <w:p>
      <w:pPr>
        <w:ind w:left="360" w:hanging="360"/>
        <w:jc w:val="both"/>
        <w:spacing w:before="0" w:after="80" w:line="276" w:lineRule="auto"/>
      </w:pPr>
      <w:r>
        <w:rPr>
          <w:rFonts w:ascii="Calibri" w:hAnsi="Calibri"/>
          <w:b w:val="0"/>
          <w:i w:val="0"/>
          <w:color w:val="333333"/>
          <w:sz w:val="20"/>
        </w:rPr>
        <w:t>CB Grup Barna (2026). El Model Invertit: Projecte de Bàsquet Femení. Document intern.</w:t>
      </w:r>
    </w:p>
    <w:p>
      <w:pPr>
        <w:ind w:left="360" w:hanging="360"/>
        <w:jc w:val="both"/>
        <w:spacing w:before="0" w:after="80" w:line="276" w:lineRule="auto"/>
      </w:pPr>
      <w:r>
        <w:rPr>
          <w:rFonts w:ascii="Calibri" w:hAnsi="Calibri"/>
          <w:b w:val="0"/>
          <w:i w:val="0"/>
          <w:color w:val="333333"/>
          <w:sz w:val="20"/>
        </w:rPr>
        <w:t>CB Grup Barna (2026). Dossier 8M Premium: Investigació internacional sobre campanyes 8M.</w:t>
      </w:r>
    </w:p>
    <w:p>
      <w:pPr>
        <w:ind w:left="360" w:hanging="360"/>
        <w:jc w:val="both"/>
        <w:spacing w:before="0" w:after="80" w:line="276" w:lineRule="auto"/>
      </w:pPr>
      <w:r>
        <w:rPr>
          <w:rFonts w:ascii="Calibri" w:hAnsi="Calibri"/>
          <w:b w:val="0"/>
          <w:i w:val="0"/>
          <w:color w:val="333333"/>
          <w:sz w:val="20"/>
        </w:rPr>
        <w:t>Chang, Y.K., et al. (2012). The effects of acute exercise on cognitive performance: A meta-analysis. Brain Research, 1453, 87-101.</w:t>
      </w:r>
    </w:p>
    <w:p>
      <w:pPr>
        <w:ind w:left="360" w:hanging="360"/>
        <w:jc w:val="both"/>
        <w:spacing w:before="0" w:after="80" w:line="276" w:lineRule="auto"/>
      </w:pPr>
      <w:r>
        <w:rPr>
          <w:rFonts w:ascii="Calibri" w:hAnsi="Calibri"/>
          <w:b w:val="0"/>
          <w:i w:val="0"/>
          <w:color w:val="333333"/>
          <w:sz w:val="20"/>
        </w:rPr>
        <w:t>Consejo Superior de Deportes (CSD) (2024). Anuario de Estadísticas Deportivas 2024. Ministerio de Cultura y Deporte.</w:t>
      </w:r>
    </w:p>
    <w:p>
      <w:pPr>
        <w:ind w:left="360" w:hanging="360"/>
        <w:jc w:val="both"/>
        <w:spacing w:before="0" w:after="80" w:line="276" w:lineRule="auto"/>
      </w:pPr>
      <w:r>
        <w:rPr>
          <w:rFonts w:ascii="Calibri" w:hAnsi="Calibri"/>
          <w:b w:val="0"/>
          <w:i w:val="0"/>
          <w:color w:val="333333"/>
          <w:sz w:val="20"/>
        </w:rPr>
        <w:t>Enquesta d'Hàbits Esportius (2024-2025). CSD / INE.</w:t>
      </w:r>
    </w:p>
    <w:p>
      <w:pPr>
        <w:ind w:left="360" w:hanging="360"/>
        <w:jc w:val="both"/>
        <w:spacing w:before="0" w:after="80" w:line="276" w:lineRule="auto"/>
      </w:pPr>
      <w:r>
        <w:rPr>
          <w:rFonts w:ascii="Calibri" w:hAnsi="Calibri"/>
          <w:b w:val="0"/>
          <w:i w:val="0"/>
          <w:color w:val="333333"/>
          <w:sz w:val="20"/>
        </w:rPr>
        <w:t>Federació Catalana de Basquetbol (FCBQ) (2025). Memòria de la temporada 2024-2025. Barcelona.</w:t>
      </w:r>
    </w:p>
    <w:p>
      <w:pPr>
        <w:ind w:left="360" w:hanging="360"/>
        <w:jc w:val="both"/>
        <w:spacing w:before="0" w:after="80" w:line="276" w:lineRule="auto"/>
      </w:pPr>
      <w:r>
        <w:rPr>
          <w:rFonts w:ascii="Calibri" w:hAnsi="Calibri"/>
          <w:b w:val="0"/>
          <w:i w:val="0"/>
          <w:color w:val="333333"/>
          <w:sz w:val="20"/>
        </w:rPr>
        <w:t>Federación de Baloncesto de Madrid (FBM) (2026). Informe de equipos federados temporada 2025-2026.</w:t>
      </w:r>
    </w:p>
    <w:p>
      <w:pPr>
        <w:ind w:left="360" w:hanging="360"/>
        <w:jc w:val="both"/>
        <w:spacing w:before="0" w:after="80" w:line="276" w:lineRule="auto"/>
      </w:pPr>
      <w:r>
        <w:rPr>
          <w:rFonts w:ascii="Calibri" w:hAnsi="Calibri"/>
          <w:b w:val="0"/>
          <w:i w:val="0"/>
          <w:color w:val="333333"/>
          <w:sz w:val="20"/>
        </w:rPr>
        <w:t>Federación Española de Baloncesto (FEB) (2024). Censo de licencias y clubes 2024. Madrid.</w:t>
      </w:r>
    </w:p>
    <w:p>
      <w:pPr>
        <w:ind w:left="360" w:hanging="360"/>
        <w:jc w:val="both"/>
        <w:spacing w:before="0" w:after="80" w:line="276" w:lineRule="auto"/>
      </w:pPr>
      <w:r>
        <w:rPr>
          <w:rFonts w:ascii="Calibri" w:hAnsi="Calibri"/>
          <w:b w:val="0"/>
          <w:i w:val="0"/>
          <w:color w:val="333333"/>
          <w:sz w:val="20"/>
        </w:rPr>
        <w:t>FIBA (2026). Euroleague Women 2025-2026: Datos y estadísticas. fiba.basketball.</w:t>
      </w:r>
    </w:p>
    <w:p>
      <w:pPr>
        <w:ind w:left="360" w:hanging="360"/>
        <w:jc w:val="both"/>
        <w:spacing w:before="0" w:after="80" w:line="276" w:lineRule="auto"/>
      </w:pPr>
      <w:r>
        <w:rPr>
          <w:rFonts w:ascii="Calibri" w:hAnsi="Calibri"/>
          <w:b w:val="0"/>
          <w:i w:val="0"/>
          <w:color w:val="333333"/>
          <w:sz w:val="20"/>
        </w:rPr>
        <w:t>Fraser-Thomas, J., Côté, J., i Deakin, J. (2005). Youth sport programs: An avenue to foster positive youth development. Physical Education and Sport Pedagogy, 10(1), 19-40.</w:t>
      </w:r>
    </w:p>
    <w:p>
      <w:pPr>
        <w:ind w:left="360" w:hanging="360"/>
        <w:jc w:val="both"/>
        <w:spacing w:before="0" w:after="80" w:line="276" w:lineRule="auto"/>
      </w:pPr>
      <w:r>
        <w:rPr>
          <w:rFonts w:ascii="Calibri" w:hAnsi="Calibri"/>
          <w:b w:val="0"/>
          <w:i w:val="0"/>
          <w:color w:val="333333"/>
          <w:sz w:val="20"/>
        </w:rPr>
        <w:t>Hopkins, E., et al. (2022). Factors associated with adolescent girls' self-confidence in sport. Journal of Sports Sciences, 40(8), 912-921.</w:t>
      </w:r>
    </w:p>
    <w:p>
      <w:pPr>
        <w:ind w:left="360" w:hanging="360"/>
        <w:jc w:val="both"/>
        <w:spacing w:before="0" w:after="80" w:line="276" w:lineRule="auto"/>
      </w:pPr>
      <w:r>
        <w:rPr>
          <w:rFonts w:ascii="Calibri" w:hAnsi="Calibri"/>
          <w:b w:val="0"/>
          <w:i w:val="0"/>
          <w:color w:val="333333"/>
          <w:sz w:val="20"/>
        </w:rPr>
        <w:t>Houlihan, B., i Green, M. (2008). Comparative Elite Sport Development. Butterworth-Heinemann.</w:t>
      </w:r>
    </w:p>
    <w:p>
      <w:pPr>
        <w:ind w:left="360" w:hanging="360"/>
        <w:jc w:val="both"/>
        <w:spacing w:before="0" w:after="80" w:line="276" w:lineRule="auto"/>
      </w:pPr>
      <w:r>
        <w:rPr>
          <w:rFonts w:ascii="Calibri" w:hAnsi="Calibri"/>
          <w:b w:val="0"/>
          <w:i w:val="0"/>
          <w:color w:val="333333"/>
          <w:sz w:val="20"/>
        </w:rPr>
        <w:t>Kanter, R.M. (1977). Men and Women of the Corporation. Basic Books.</w:t>
      </w:r>
    </w:p>
    <w:p>
      <w:pPr>
        <w:ind w:left="360" w:hanging="360"/>
        <w:jc w:val="both"/>
        <w:spacing w:before="0" w:after="80" w:line="276" w:lineRule="auto"/>
      </w:pPr>
      <w:r>
        <w:rPr>
          <w:rFonts w:ascii="Calibri" w:hAnsi="Calibri"/>
          <w:b w:val="0"/>
          <w:i w:val="0"/>
          <w:color w:val="333333"/>
          <w:sz w:val="20"/>
        </w:rPr>
        <w:t>Kim, W.C., i Mauborgne, R. (2005). Blue Ocean Strategy. Harvard Business School Press.</w:t>
      </w:r>
    </w:p>
    <w:p>
      <w:pPr>
        <w:ind w:left="360" w:hanging="360"/>
        <w:jc w:val="both"/>
        <w:spacing w:before="0" w:after="80" w:line="276" w:lineRule="auto"/>
      </w:pPr>
      <w:r>
        <w:rPr>
          <w:rFonts w:ascii="Calibri" w:hAnsi="Calibri"/>
          <w:b w:val="0"/>
          <w:i w:val="0"/>
          <w:color w:val="333333"/>
          <w:sz w:val="20"/>
        </w:rPr>
        <w:t>Kimm, S.Y., et al. (2002). Decline in physical activity in Black girls and White girls during adolescence. New England Journal of Medicine, 347(10), 709-715.</w:t>
      </w:r>
    </w:p>
    <w:p>
      <w:pPr>
        <w:ind w:left="360" w:hanging="360"/>
        <w:jc w:val="both"/>
        <w:spacing w:before="0" w:after="80" w:line="276" w:lineRule="auto"/>
      </w:pPr>
      <w:r>
        <w:rPr>
          <w:rFonts w:ascii="Calibri" w:hAnsi="Calibri"/>
          <w:b w:val="0"/>
          <w:i w:val="0"/>
          <w:color w:val="333333"/>
          <w:sz w:val="20"/>
        </w:rPr>
        <w:t>LaVoi, N.M., i Dutove, J.K. (2012). Barriers and supports for female coaches. Sports Coaching Review, 1(1), 17-37.</w:t>
      </w:r>
    </w:p>
    <w:p>
      <w:pPr>
        <w:ind w:left="360" w:hanging="360"/>
        <w:jc w:val="both"/>
        <w:spacing w:before="0" w:after="80" w:line="276" w:lineRule="auto"/>
      </w:pPr>
      <w:r>
        <w:rPr>
          <w:rFonts w:ascii="Calibri" w:hAnsi="Calibri"/>
          <w:b w:val="0"/>
          <w:i w:val="0"/>
          <w:color w:val="333333"/>
          <w:sz w:val="20"/>
        </w:rPr>
        <w:t>Ley 39/2022, de 30 de diciembre, del Deporte. BOE núm. 314, de 31/12/2022.</w:t>
      </w:r>
    </w:p>
    <w:p>
      <w:pPr>
        <w:ind w:left="360" w:hanging="360"/>
        <w:jc w:val="both"/>
        <w:spacing w:before="0" w:after="80" w:line="276" w:lineRule="auto"/>
      </w:pPr>
      <w:r>
        <w:rPr>
          <w:rFonts w:ascii="Calibri" w:hAnsi="Calibri"/>
          <w:b w:val="0"/>
          <w:i w:val="0"/>
          <w:color w:val="333333"/>
          <w:sz w:val="20"/>
        </w:rPr>
        <w:t>Messner, M.A. (2002). Taking the Field: Women, Men, and Sports. University of Minnesota Press.</w:t>
      </w:r>
    </w:p>
    <w:p>
      <w:pPr>
        <w:ind w:left="360" w:hanging="360"/>
        <w:jc w:val="both"/>
        <w:spacing w:before="0" w:after="80" w:line="276" w:lineRule="auto"/>
      </w:pPr>
      <w:r>
        <w:rPr>
          <w:rFonts w:ascii="Calibri" w:hAnsi="Calibri"/>
          <w:b w:val="0"/>
          <w:i w:val="0"/>
          <w:color w:val="333333"/>
          <w:sz w:val="20"/>
        </w:rPr>
        <w:t>NBA (2025). NBA Revenue and Team Valuations 2024-2025. NBA.com.</w:t>
      </w:r>
    </w:p>
    <w:p>
      <w:pPr>
        <w:ind w:left="360" w:hanging="360"/>
        <w:jc w:val="both"/>
        <w:spacing w:before="0" w:after="80" w:line="276" w:lineRule="auto"/>
      </w:pPr>
      <w:r>
        <w:rPr>
          <w:rFonts w:ascii="Calibri" w:hAnsi="Calibri"/>
          <w:b w:val="0"/>
          <w:i w:val="0"/>
          <w:color w:val="333333"/>
          <w:sz w:val="20"/>
        </w:rPr>
        <w:t>Norman, L. (2010). Feeling second best: Elite women coaches' experiences. Sociology of Sport Journal, 27(1), 89-104.</w:t>
      </w:r>
    </w:p>
    <w:p>
      <w:pPr>
        <w:ind w:left="360" w:hanging="360"/>
        <w:jc w:val="both"/>
        <w:spacing w:before="0" w:after="80" w:line="276" w:lineRule="auto"/>
      </w:pPr>
      <w:r>
        <w:rPr>
          <w:rFonts w:ascii="Calibri" w:hAnsi="Calibri"/>
          <w:b w:val="0"/>
          <w:i w:val="0"/>
          <w:color w:val="333333"/>
          <w:sz w:val="20"/>
        </w:rPr>
        <w:t>Singh, A.S., et al. (2018). Physical activity and performance at school. Archives of Pediatrics &amp; Adolescent Medicine, 166(1), 49-55.</w:t>
      </w:r>
    </w:p>
    <w:p>
      <w:pPr>
        <w:ind w:left="360" w:hanging="360"/>
        <w:jc w:val="both"/>
        <w:spacing w:before="0" w:after="80" w:line="276" w:lineRule="auto"/>
      </w:pPr>
      <w:r>
        <w:rPr>
          <w:rFonts w:ascii="Calibri" w:hAnsi="Calibri"/>
          <w:b w:val="0"/>
          <w:i w:val="0"/>
          <w:color w:val="333333"/>
          <w:sz w:val="20"/>
        </w:rPr>
        <w:t>Steinberg, L. (2008). A social neuroscience perspective on adolescent risk-taking. Developmental Review, 28(1), 78-106.</w:t>
      </w:r>
    </w:p>
    <w:p>
      <w:pPr>
        <w:ind w:left="360" w:hanging="360"/>
        <w:jc w:val="both"/>
        <w:spacing w:before="0" w:after="80" w:line="276" w:lineRule="auto"/>
      </w:pPr>
      <w:r>
        <w:rPr>
          <w:rFonts w:ascii="Calibri" w:hAnsi="Calibri"/>
          <w:b w:val="0"/>
          <w:i w:val="0"/>
          <w:color w:val="333333"/>
          <w:sz w:val="20"/>
        </w:rPr>
        <w:t>Weinberg, R., et al. (2000). Motivation for youth participation in sport and physical activity. International Journal of Sport Psychology, 31(3), 321-346.</w:t>
      </w:r>
    </w:p>
    <w:p>
      <w:pPr>
        <w:ind w:left="360" w:hanging="360"/>
        <w:jc w:val="both"/>
        <w:spacing w:before="0" w:after="80" w:line="276" w:lineRule="auto"/>
      </w:pPr>
      <w:r>
        <w:rPr>
          <w:rFonts w:ascii="Calibri" w:hAnsi="Calibri"/>
          <w:b w:val="0"/>
          <w:i w:val="0"/>
          <w:color w:val="333333"/>
          <w:sz w:val="20"/>
        </w:rPr>
        <w:t>WNBA (2025). WNBA Season Attendance and Viewership Records 2024. WNBA.com.</w:t>
      </w:r>
    </w:p>
    <w:p>
      <w:pPr>
        <w:spacing w:before="0" w:after="0"/>
      </w:pPr>
      <w:r>
        <w:br w:type="page"/>
      </w:r>
    </w:p>
    <w:p>
      <w:pPr>
        <w:pStyle w:val="Heading1"/>
        <w:jc w:val="left"/>
        <w:shd w:val="clear" w:color="auto" w:fill="1A2E4A"/>
        <w:ind w:left="180"/>
        <w:spacing w:before="280" w:after="120"/>
      </w:pPr>
      <w:r>
        <w:rPr>
          <w:rFonts w:ascii="Calibri" w:hAnsi="Calibri"/>
          <w:b/>
          <w:i w:val="0"/>
          <w:color w:val="FFFFFF"/>
          <w:sz w:val="28"/>
        </w:rPr>
        <w:t>ANNEX. CB GRUP BARNA: EL MÈTODE BARNA</w:t>
      </w:r>
    </w:p>
    <w:p>
      <w:pPr>
        <w:jc w:val="both"/>
        <w:spacing w:before="0" w:after="100" w:line="280" w:lineRule="auto"/>
      </w:pPr>
      <w:r>
        <w:rPr>
          <w:rFonts w:ascii="Calibri" w:hAnsi="Calibri"/>
          <w:b w:val="0"/>
          <w:i w:val="0"/>
          <w:color w:val="333333"/>
          <w:sz w:val="21"/>
        </w:rPr>
        <w:t>Aquest annex documenta el cas del CB Grup Barna com a model que demostra que una gestió diferent és possible dins del mateix ecosistema i amb recursos ordinaris. S'inclou com a annex per separar l'anàlisi objectiva de la situació (Parts I-VII) de la documentació d'un cas concret.</w:t>
      </w:r>
    </w:p>
    <w:p>
      <w:pPr>
        <w:pStyle w:val="Heading2"/>
        <w:pBdr>
          <w:bottom w:val="single" w:sz="4" w:space="1" w:color="1B5E8A"/>
        </w:pBdr>
        <w:spacing w:before="200" w:after="80"/>
      </w:pPr>
      <w:r>
        <w:rPr>
          <w:rFonts w:ascii="Calibri" w:hAnsi="Calibri"/>
          <w:b/>
          <w:i w:val="0"/>
          <w:color w:val="1A2E4A"/>
          <w:sz w:val="24"/>
        </w:rPr>
        <w:t>A.1. Perfil del club</w:t>
      </w:r>
    </w:p>
    <w:p>
      <w:pPr>
        <w:jc w:val="both"/>
        <w:spacing w:before="0" w:after="100" w:line="280" w:lineRule="auto"/>
      </w:pPr>
      <w:r>
        <w:rPr>
          <w:rFonts w:ascii="Calibri" w:hAnsi="Calibri"/>
          <w:b w:val="0"/>
          <w:i w:val="0"/>
          <w:color w:val="333333"/>
          <w:sz w:val="21"/>
        </w:rPr>
        <w:t>El CB Grup Barna, fundat el 1965, és un club de barri arrelat al Clot, al districte de Sant Martí de Barcelona. Compta amb més de 450 famílies vinculades, més de 5.000 seguidors a Instagram, 41 equips (22 masculins + 20 femenins) i cantera pròpia en totes les categories de formació. La seva seu esportiva és La Nau del Clot. Opera amb un pressupost de 140.000-160.000€ anuals sota un model econòmic autosostenible: no depèn de macroentitats externes ni de subvencions específiques.</w:t>
      </w:r>
    </w:p>
    <w:p>
      <w:pPr>
        <w:pStyle w:val="Heading2"/>
        <w:pBdr>
          <w:bottom w:val="single" w:sz="4" w:space="1" w:color="1B5E8A"/>
        </w:pBdr>
        <w:spacing w:before="200" w:after="80"/>
      </w:pPr>
      <w:r>
        <w:rPr>
          <w:rFonts w:ascii="Calibri" w:hAnsi="Calibri"/>
          <w:b/>
          <w:i w:val="0"/>
          <w:color w:val="1A2E4A"/>
          <w:sz w:val="24"/>
        </w:rPr>
        <w:t>A.2. El Mètode Barna: tres pilars</w:t>
      </w:r>
    </w:p>
    <w:p>
      <w:pPr>
        <w:pStyle w:val="Heading3"/>
        <w:spacing w:before="160" w:after="60"/>
      </w:pPr>
      <w:r>
        <w:rPr>
          <w:rFonts w:ascii="Calibri" w:hAnsi="Calibri"/>
          <w:b/>
          <w:i w:val="0"/>
          <w:color w:val="C0392B"/>
          <w:sz w:val="22"/>
        </w:rPr>
        <w:t>Pilar 1: Inversió paritària (50%)</w:t>
      </w:r>
    </w:p>
    <w:p>
      <w:pPr>
        <w:jc w:val="both"/>
        <w:spacing w:before="0" w:after="100" w:line="280" w:lineRule="auto"/>
      </w:pPr>
      <w:r>
        <w:rPr>
          <w:rFonts w:ascii="Calibri" w:hAnsi="Calibri"/>
          <w:b w:val="0"/>
          <w:i w:val="0"/>
          <w:color w:val="333333"/>
          <w:sz w:val="21"/>
        </w:rPr>
        <w:t>El club destina el 50% del pressupost total al bàsquet femení, enfront del 35% de la mitjana del sector. La paritat, en un entorn on la norma és el 35%, ja genera avantatge competitiu: activa captació diferencial, retenció per disseny i qualitat tècnica acumulativa. El 50% no requereix més diners sinó redistribuir els que ja es tenen.</w:t>
      </w:r>
    </w:p>
    <w:p>
      <w:pPr>
        <w:pStyle w:val="Heading3"/>
        <w:spacing w:before="160" w:after="60"/>
      </w:pPr>
      <w:r>
        <w:rPr>
          <w:rFonts w:ascii="Calibri" w:hAnsi="Calibri"/>
          <w:b/>
          <w:i w:val="0"/>
          <w:color w:val="C0392B"/>
          <w:sz w:val="22"/>
        </w:rPr>
        <w:t>Pilar 2: Pipeline de lideratge (65,5% staff femení)</w:t>
      </w:r>
    </w:p>
    <w:p>
      <w:pPr>
        <w:jc w:val="both"/>
        <w:spacing w:before="0" w:after="100" w:line="280" w:lineRule="auto"/>
      </w:pPr>
      <w:r>
        <w:rPr>
          <w:rFonts w:ascii="Calibri" w:hAnsi="Calibri"/>
          <w:b w:val="0"/>
          <w:i w:val="0"/>
          <w:color w:val="333333"/>
          <w:sz w:val="21"/>
        </w:rPr>
        <w:t>El club té 38 entrenadores actives que representen el 65,5% del staff tècnic. Cap té carnet federatiu: per a la FCBQ, no existeixen estadísticament. El Pipeline de Lideratge opera en sis fases: Escoleta (4 anys, primeres passes), Formació (competició federada en totes les categories), Entrenadora (la jugadora s'incorpora al cos tècnic i entrena equips masculins i femenins), Copa Catalunya (competició autonòmica), Super Copa FCBQ (excel·lència competitiva) i Lliga Endesa (el talent arriba a l'èlit).</w:t>
      </w:r>
    </w:p>
    <w:p>
      <w:pPr>
        <w:jc w:val="both"/>
        <w:spacing w:before="0" w:after="100" w:line="280" w:lineRule="auto"/>
      </w:pPr>
      <w:r>
        <w:rPr>
          <w:rFonts w:ascii="Calibri" w:hAnsi="Calibri"/>
          <w:b w:val="0"/>
          <w:i w:val="0"/>
          <w:color w:val="333333"/>
          <w:sz w:val="21"/>
        </w:rPr>
        <w:t>L'element més radical és la Fase 3: quan una dona entrena un equip de nens, les nenes veuen que entrenar és natural per a una dona, els nens creixen amb una figura d'autoritat femenina en l'esport, i els pares transformen la seva percepció de la competència femenina. El Mètode no forma "dones líders": forma un ecosistema on el lideratge no té gènere.</w:t>
      </w:r>
    </w:p>
    <w:p>
      <w:pPr>
        <w:pStyle w:val="Heading3"/>
        <w:spacing w:before="160" w:after="60"/>
      </w:pPr>
      <w:r>
        <w:rPr>
          <w:rFonts w:ascii="Calibri" w:hAnsi="Calibri"/>
          <w:b/>
          <w:i w:val="0"/>
          <w:color w:val="C0392B"/>
          <w:sz w:val="22"/>
        </w:rPr>
        <w:t>Pilar 3: Resposta orgànica (53,7% audiència femenina)</w:t>
      </w:r>
    </w:p>
    <w:p>
      <w:pPr>
        <w:jc w:val="both"/>
        <w:spacing w:before="0" w:after="100" w:line="280" w:lineRule="auto"/>
      </w:pPr>
      <w:r>
        <w:rPr>
          <w:rFonts w:ascii="Calibri" w:hAnsi="Calibri"/>
          <w:b w:val="0"/>
          <w:i w:val="0"/>
          <w:color w:val="333333"/>
          <w:sz w:val="21"/>
        </w:rPr>
        <w:t>El 53,7% de l'audiència a xarxes socials del club són dones, una anomalia en un sector on les audiències són 60-70% masculines. Això no és fruit de cap campanya de màrqueting sinó la conseqüència natural de l'estructura del club: 48,8% d'equips femenins genera contingut visual paritari, 20 equips femenins generen una xarxa proporcional de mares i familiars, i l'autenticitat de la pràctica genera fidelitat orgànica.</w:t>
      </w:r>
    </w:p>
    <w:p>
      <w:pPr>
        <w:pStyle w:val="Heading2"/>
        <w:pBdr>
          <w:bottom w:val="single" w:sz="4" w:space="1" w:color="1B5E8A"/>
        </w:pBdr>
        <w:spacing w:before="200" w:after="80"/>
      </w:pPr>
      <w:r>
        <w:rPr>
          <w:rFonts w:ascii="Calibri" w:hAnsi="Calibri"/>
          <w:b/>
          <w:i w:val="0"/>
          <w:color w:val="1A2E4A"/>
          <w:sz w:val="24"/>
        </w:rPr>
        <w:t>A.3. Les 38 entrenadores: anatomia del talent invisible</w:t>
      </w:r>
    </w:p>
    <w:p>
      <w:pPr>
        <w:jc w:val="both"/>
        <w:spacing w:before="0" w:after="100" w:line="280" w:lineRule="auto"/>
      </w:pPr>
      <w:r>
        <w:rPr>
          <w:rFonts w:ascii="Calibri" w:hAnsi="Calibri"/>
          <w:b w:val="0"/>
          <w:i w:val="0"/>
          <w:color w:val="333333"/>
          <w:sz w:val="21"/>
        </w:rPr>
        <w:t>L'anàlisi identifica tres perfils entre les 38 entrenadores: la Veterana (20-30%, exjugadora de 25-40 anys amb barrera d'horaris), la Jove (50-60%, jugadora activa de 18-25 anys amb barrera econòmica) i la Mare (10-20%, mare implicada de 35-50 anys amb barrera d'autopercepció). El Fons Barna 8M està dissenyat amb tres vies adaptades a aquestes tres barreres: formació coordinada amb entrenaments, beca 100% del cost, i mentoria amb validació de l'experiència.</w:t>
      </w:r>
    </w:p>
    <w:p>
      <w:pPr>
        <w:pStyle w:val="Heading2"/>
        <w:pBdr>
          <w:bottom w:val="single" w:sz="4" w:space="1" w:color="1B5E8A"/>
        </w:pBdr>
        <w:spacing w:before="200" w:after="80"/>
      </w:pPr>
      <w:r>
        <w:rPr>
          <w:rFonts w:ascii="Calibri" w:hAnsi="Calibri"/>
          <w:b/>
          <w:i w:val="0"/>
          <w:color w:val="1A2E4A"/>
          <w:sz w:val="24"/>
        </w:rPr>
        <w:t>A.4. Situació competitiva actual (temporada 2025-26)</w:t>
      </w:r>
    </w:p>
    <w:p>
      <w:pPr>
        <w:jc w:val="both"/>
        <w:spacing w:before="0" w:after="100" w:line="280" w:lineRule="auto"/>
      </w:pPr>
      <w:r>
        <w:rPr>
          <w:rFonts w:ascii="Calibri" w:hAnsi="Calibri"/>
          <w:b w:val="0"/>
          <w:i w:val="0"/>
          <w:color w:val="333333"/>
          <w:sz w:val="21"/>
        </w:rPr>
        <w:t>L'equip Instax-CB Grup Barna A ocupa posicions altes a la Super Copa femenina (màxima categoria catalana), amb un balanç de 10-4 a la jornada 15, igualat amb el CB Igualada a la zona d'accés a la fase d'ascens a LF2. La FCBQ l'ha destacat com un dels equips més sòlids de la competició, amb una ratxa de 7 victòries consecutives a casa. El segon equip, Outletmoto.com CB Grup Barna A, competeix a Copa Catalunya femenina com a plataforma de desenvolupament.</w:t>
      </w:r>
    </w:p>
    <w:p>
      <w:pPr>
        <w:jc w:val="both"/>
        <w:spacing w:before="0" w:after="100" w:line="280" w:lineRule="auto"/>
      </w:pPr>
      <w:r>
        <w:rPr>
          <w:rFonts w:ascii="Calibri" w:hAnsi="Calibri"/>
          <w:b w:val="0"/>
          <w:i w:val="0"/>
          <w:color w:val="333333"/>
          <w:sz w:val="21"/>
        </w:rPr>
        <w:t>El model de dos equips sènior femenins és una decisió estratègica diferencial que proporciona xarxa de seguretat competitiva: si l'equip principal ascendeix a LF2, el segon segueix alimentant la cantera; si una temporada resulta adversa, existeix la xarxa del circuit català.</w:t>
      </w:r>
    </w:p>
    <w:p>
      <w:pPr>
        <w:pStyle w:val="Heading2"/>
        <w:pBdr>
          <w:bottom w:val="single" w:sz="4" w:space="1" w:color="1B5E8A"/>
        </w:pBdr>
        <w:spacing w:before="200" w:after="80"/>
      </w:pPr>
      <w:r>
        <w:rPr>
          <w:rFonts w:ascii="Calibri" w:hAnsi="Calibri"/>
          <w:b/>
          <w:i w:val="0"/>
          <w:color w:val="1A2E4A"/>
          <w:sz w:val="24"/>
        </w:rPr>
        <w:t>A.5. Via d'accés a LF2</w:t>
      </w:r>
    </w:p>
    <w:p>
      <w:pPr>
        <w:jc w:val="both"/>
        <w:spacing w:before="0" w:after="100" w:line="280" w:lineRule="auto"/>
      </w:pPr>
      <w:r>
        <w:rPr>
          <w:rFonts w:ascii="Calibri" w:hAnsi="Calibri"/>
          <w:b w:val="0"/>
          <w:i w:val="0"/>
          <w:color w:val="333333"/>
          <w:sz w:val="21"/>
        </w:rPr>
        <w:t>Segons les bases FCBQ, el campió de la Super Copa accedeix directament a la fase d'ascens a LF2. Del segon al cinquè classificats disputen una Final a Quatre. El descens previsible del Santfeliuenc de LF Challenge podria generar una vacant addicional que beneficiï clubs catalans en posició d'ascens.</w:t>
      </w:r>
    </w:p>
    <w:p>
      <w:pPr>
        <w:pStyle w:val="Heading2"/>
        <w:pBdr>
          <w:bottom w:val="single" w:sz="4" w:space="1" w:color="1B5E8A"/>
        </w:pBdr>
        <w:spacing w:before="200" w:after="80"/>
      </w:pPr>
      <w:r>
        <w:rPr>
          <w:rFonts w:ascii="Calibri" w:hAnsi="Calibri"/>
          <w:b/>
          <w:i w:val="0"/>
          <w:color w:val="1A2E4A"/>
          <w:sz w:val="24"/>
        </w:rPr>
        <w:t>A.6. Escenari 2026-27</w:t>
      </w:r>
    </w:p>
    <w:p/>
    <w:p>
      <w:pPr>
        <w:pStyle w:val="Heading2"/>
        <w:pBdr>
          <w:bottom w:val="single" w:sz="4" w:space="1" w:color="1B5E8A"/>
        </w:pBdr>
        <w:spacing w:before="200" w:after="80"/>
      </w:pPr>
      <w:r>
        <w:rPr>
          <w:rFonts w:ascii="Calibri" w:hAnsi="Calibri"/>
          <w:b/>
          <w:i w:val="0"/>
          <w:color w:val="1A2E4A"/>
          <w:sz w:val="24"/>
        </w:rPr>
        <w:t>A.7. El 3x3 Westfield Glòries</w:t>
      </w:r>
    </w:p>
    <w:p>
      <w:pPr>
        <w:jc w:val="both"/>
        <w:spacing w:before="0" w:after="100" w:line="280" w:lineRule="auto"/>
      </w:pPr>
      <w:r>
        <w:rPr>
          <w:rFonts w:ascii="Calibri" w:hAnsi="Calibri"/>
          <w:b w:val="0"/>
          <w:i w:val="0"/>
          <w:color w:val="333333"/>
          <w:sz w:val="21"/>
        </w:rPr>
        <w:t>El torneig 3x3 treu el bàsquet del pavelló i el porta a l'espai públic: 100 equips, 20.000 persones exposades, 2,4 milions d'impressions digitals, influencers orgànics, i categoria EQUALS (diversitat funcional). El cost per impressió (~0,004€) és insignificant comparat amb qualsevol campanya publicitària. El format 3x3 és una porta d'entrada low-cost al pipeline del Mètode i un accelerador de captació femenina.</w:t>
      </w:r>
    </w:p>
    <w:p>
      <w:pPr>
        <w:pStyle w:val="Heading2"/>
        <w:pBdr>
          <w:bottom w:val="single" w:sz="4" w:space="1" w:color="1B5E8A"/>
        </w:pBdr>
        <w:spacing w:before="200" w:after="80"/>
      </w:pPr>
      <w:r>
        <w:rPr>
          <w:rFonts w:ascii="Calibri" w:hAnsi="Calibri"/>
          <w:b/>
          <w:i w:val="0"/>
          <w:color w:val="1A2E4A"/>
          <w:sz w:val="24"/>
        </w:rPr>
        <w:t>A.8. El ROI de la paritat</w:t>
      </w:r>
    </w:p>
    <w:p>
      <w:pPr>
        <w:jc w:val="both"/>
        <w:spacing w:before="0" w:after="100" w:line="280" w:lineRule="auto"/>
      </w:pPr>
      <w:r>
        <w:rPr>
          <w:rFonts w:ascii="Calibri" w:hAnsi="Calibri"/>
          <w:b w:val="0"/>
          <w:i w:val="0"/>
          <w:color w:val="333333"/>
          <w:sz w:val="21"/>
        </w:rPr>
        <w:t>El retorn del 50% es manifesta en cinc dimensions: retorn competitiu (sènior femení a Super Copa, 2-3 categories per sobre del masculí); retorn de captació (20 equips femenins, més del doble de la mitjana); retorn de marca (53,7% audiència femenina, 2,4M impressions 3x3, col·laboració Disseny Hub); retorn tècnic (38 entrenadores voluntàries per vocació); i retorn social (450+ famílies, cohesió comunitària al Clot).</w:t>
      </w:r>
    </w:p>
    <w:p>
      <w:pPr>
        <w:pStyle w:val="Heading2"/>
        <w:pBdr>
          <w:bottom w:val="single" w:sz="4" w:space="1" w:color="1B5E8A"/>
        </w:pBdr>
        <w:spacing w:before="200" w:after="80"/>
      </w:pPr>
      <w:r>
        <w:rPr>
          <w:rFonts w:ascii="Calibri" w:hAnsi="Calibri"/>
          <w:b/>
          <w:i w:val="0"/>
          <w:color w:val="1A2E4A"/>
          <w:sz w:val="24"/>
        </w:rPr>
        <w:t>A.9. Plans operatius</w:t>
      </w:r>
    </w:p>
    <w:p>
      <w:pPr>
        <w:pStyle w:val="Heading3"/>
        <w:spacing w:before="160" w:after="60"/>
      </w:pPr>
      <w:r>
        <w:rPr>
          <w:rFonts w:ascii="Calibri" w:hAnsi="Calibri"/>
          <w:b/>
          <w:i w:val="0"/>
          <w:color w:val="C0392B"/>
          <w:sz w:val="22"/>
        </w:rPr>
        <w:t>Curt termini (1-2 anys)</w:t>
      </w:r>
    </w:p>
    <w:p>
      <w:pPr>
        <w:jc w:val="both"/>
        <w:spacing w:before="0" w:after="100" w:line="280" w:lineRule="auto"/>
      </w:pPr>
      <w:r>
        <w:rPr>
          <w:rFonts w:ascii="Calibri" w:hAnsi="Calibri"/>
          <w:b w:val="0"/>
          <w:i w:val="0"/>
          <w:color w:val="333333"/>
          <w:sz w:val="21"/>
        </w:rPr>
        <w:t>Fons Barna 8M: titular 20 de les 38 entrenadores. Protocol de mesurament del Mètode amb cinc indicadors (% pressupost femení, % equips femenins, % staff femení, taxa retenció, % audiència femenina XXSS). Publicació acadèmica dels resultats.</w:t>
      </w:r>
    </w:p>
    <w:p>
      <w:pPr>
        <w:pStyle w:val="Heading3"/>
        <w:spacing w:before="160" w:after="60"/>
      </w:pPr>
      <w:r>
        <w:rPr>
          <w:rFonts w:ascii="Calibri" w:hAnsi="Calibri"/>
          <w:b/>
          <w:i w:val="0"/>
          <w:color w:val="C0392B"/>
          <w:sz w:val="22"/>
        </w:rPr>
        <w:t>Mig termini (3-5 anys)</w:t>
      </w:r>
    </w:p>
    <w:p>
      <w:pPr>
        <w:jc w:val="both"/>
        <w:spacing w:before="0" w:after="100" w:line="280" w:lineRule="auto"/>
      </w:pPr>
      <w:r>
        <w:rPr>
          <w:rFonts w:ascii="Calibri" w:hAnsi="Calibri"/>
          <w:b w:val="0"/>
          <w:i w:val="0"/>
          <w:color w:val="333333"/>
          <w:sz w:val="21"/>
        </w:rPr>
        <w:t>Xarxa Mètode Barna: comunitat de pràctica de 5-10 clubs. Ascens a LF2. Negociació amb FCBQ per accés al Programa Mentoria per a entrenadores en procés de titulació.</w:t>
      </w:r>
    </w:p>
    <w:p>
      <w:pPr>
        <w:pStyle w:val="Heading3"/>
        <w:spacing w:before="160" w:after="60"/>
      </w:pPr>
      <w:r>
        <w:rPr>
          <w:rFonts w:ascii="Calibri" w:hAnsi="Calibri"/>
          <w:b/>
          <w:i w:val="0"/>
          <w:color w:val="C0392B"/>
          <w:sz w:val="22"/>
        </w:rPr>
        <w:t>Llarg termini (5-10 anys)</w:t>
      </w:r>
    </w:p>
    <w:p>
      <w:pPr>
        <w:jc w:val="both"/>
        <w:spacing w:before="0" w:after="100" w:line="280" w:lineRule="auto"/>
      </w:pPr>
      <w:r>
        <w:rPr>
          <w:rFonts w:ascii="Calibri" w:hAnsi="Calibri"/>
          <w:b w:val="0"/>
          <w:i w:val="0"/>
          <w:color w:val="333333"/>
          <w:sz w:val="21"/>
        </w:rPr>
        <w:t>Certificació Mètode Barna amb quatre nivells (Compromís, Implementació, Consolidació, Excel·lència). Generació de dones que hauran crescut dins d'un sistema on la igualtat era l'estructura.</w:t>
      </w:r>
    </w:p>
    <w:p>
      <w:pPr>
        <w:pStyle w:val="Heading2"/>
        <w:pBdr>
          <w:bottom w:val="single" w:sz="4" w:space="1" w:color="1B5E8A"/>
        </w:pBdr>
        <w:spacing w:before="200" w:after="80"/>
      </w:pPr>
      <w:r>
        <w:rPr>
          <w:rFonts w:ascii="Calibri" w:hAnsi="Calibri"/>
          <w:b/>
          <w:i w:val="0"/>
          <w:color w:val="1A2E4A"/>
          <w:sz w:val="24"/>
        </w:rPr>
        <w:t>A.10. Els cinc indicadors del Mètode</w:t>
      </w:r>
    </w:p>
    <w:p/>
    <w:p/>
    <w:p>
      <w:pPr>
        <w:shd w:val="clear" w:color="auto" w:fill="1A2E4A"/>
        <w:ind w:left="180"/>
        <w:spacing w:before="120" w:after="120"/>
      </w:pPr>
      <w:r>
        <w:rPr>
          <w:rFonts w:ascii="Calibri" w:hAnsi="Calibri"/>
          <w:b w:val="0"/>
          <w:i w:val="0"/>
          <w:color w:val="FFFFFF"/>
          <w:sz w:val="21"/>
        </w:rPr>
        <w:t xml:space="preserve">El Mètode Barna no és un programa d'igualtat. És un sistema de gestió que elimina les condicions que generen desigualtat. 50% inversió paritària. 38 entrenadores (65,5% staff). 53,7% audiència femenina. Pipeline complet d'escoleta a entrenadora. 60 anys de validació. Cap dependència externa. </w:t>
      </w:r>
      <w:r>
        <w:rPr>
          <w:rFonts w:ascii="Calibri" w:hAnsi="Calibri"/>
          <w:b/>
          <w:i w:val="0"/>
          <w:color w:val="FFFFFF"/>
          <w:sz w:val="21"/>
        </w:rPr>
        <w:t>Un sistema. No una campanya.</w:t>
      </w:r>
    </w:p>
    <w:sectPr w:rsidR="00FC693F" w:rsidRPr="0006063C" w:rsidSect="00034616">
      <w:footerReference w:type="default" r:id="rId9"/>
      <w:pgSz w:w="11906" w:h="16838"/>
      <w:pgMar w:top="1417" w:right="1417" w:bottom="1417" w:left="1701" w:header="720" w:footer="720" w:gutter="0"/>
      <w:cols w:space="720"/>
      <w:docGrid w:linePitch="360"/>
    </w:sectPr>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5000"/>
        <w:gridCol w:w="4026"/>
      </w:tblGrid>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Indicador</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Valor / Situació</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Llicències femenines Espanya (2024)</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157.432 (35,7% del total, +19.165 en un any)</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Llicències femenines Catalunya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25.965 (36% del total FCBQ)</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Clubs verificats Barcelona ciutat</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17 (mostra) / 43-45 total estimat</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Equips formatius verificats Barcelona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362 (202 masculins + 134 femenins)</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Esportistes estimats Barcelona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4.500-5.000 federats/des</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Ràtio de gènere Barcelona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1,51:1 (60% masculins / 40% femenins)</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Conversió base → èlit femení</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0,75% (134 equips formatius → 1 LF Challenge)</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Barcelona a LF2 femení</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0 equips</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Catalunya a ACB masculina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6/18 equips (33,3%) — lideratge</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Catalunya a LF Endesa femenina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3/18 equips (16,7%) — feblesa</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Presidents homes en clubs analitzats</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100% (9 de 9)</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Disparitat salarial NBA/WNBA</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80:1</w:t>
            </w:r>
          </w:p>
        </w:tc>
      </w:tr>
      <w:tr>
        <w:tc>
          <w:tcPr>
            <w:tcW w:type="dxa" w:w="5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Creixement valoració WNBA (2025)</w:t>
            </w:r>
          </w:p>
        </w:tc>
        <w:tc>
          <w:tcPr>
            <w:tcW w:type="dxa" w:w="4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+183%</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2400"/>
        <w:gridCol w:w="2200"/>
        <w:gridCol w:w="2200"/>
        <w:gridCol w:w="2226"/>
      </w:tblGrid>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Indicador</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NBA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WNBA</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Ràtio</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Salari mitjà anual</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11.900.000 $</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147.745 $</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80:1</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Valor col·lectiu lliga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132.800 M$</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3.500 M$</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38:1</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Ingressos anuals</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11.300 M$</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~200 M$</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56:1</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Assistència per partit</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18.322</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9.807</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1,9:1</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Drets TV (11 anys)</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76.000 M$</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2.200 M$</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34:1</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3000"/>
        <w:gridCol w:w="3000"/>
        <w:gridCol w:w="3026"/>
      </w:tblGrid>
      <w:tr>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Escaló</w:t>
            </w:r>
          </w:p>
        </w:tc>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 Dones</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Pèrdua vs. escaló anterior</w:t>
            </w:r>
          </w:p>
        </w:tc>
      </w:tr>
      <w:tr>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Jugadores amb llicència</w:t>
            </w:r>
          </w:p>
        </w:tc>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35,7%</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w:t>
            </w:r>
          </w:p>
        </w:tc>
      </w:tr>
      <w:tr>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Personal en formació d’entrenadores</w:t>
            </w:r>
          </w:p>
        </w:tc>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24,1%</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-32,5%</w:t>
            </w:r>
          </w:p>
        </w:tc>
      </w:tr>
      <w:tr>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Curs Superior d’Entrenador</w:t>
            </w:r>
          </w:p>
        </w:tc>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9,0%</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-62,7%</w:t>
            </w:r>
          </w:p>
        </w:tc>
      </w:tr>
      <w:tr>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Presidència federacions</w:t>
            </w:r>
          </w:p>
        </w:tc>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5,0%</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-44,4%</w:t>
            </w:r>
          </w:p>
        </w:tc>
      </w:tr>
      <w:tr>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Presidència clubs Barcelona</w:t>
            </w:r>
          </w:p>
        </w:tc>
        <w:tc>
          <w:tcPr>
            <w:tcW w:type="dxa" w:w="3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0,0%</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-100%</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2600"/>
        <w:gridCol w:w="3213"/>
        <w:gridCol w:w="3213"/>
      </w:tblGrid>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Club</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Equip femení (categoria)</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Equip masculí (categoria)</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Uni Girona</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LF Endesa (1a divisió)</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CB Santfeliuenc</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LF Challenge (3a div.)</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Copa Catalunya (regional)</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Boet Mataró</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LF2 (4a div.)</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3a FEB (5a div.)</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CB Granollers</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Super Copa (regional)</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3a FEB (5a div.)</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CB Grup Barna</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Super Copa (regional)</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Copa Catalunya (regional)</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UB Sant Adrià</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NO TÉ</w:t>
            </w:r>
          </w:p>
        </w:tc>
        <w:tc>
          <w:tcPr>
            <w:tcW w:type="dxa" w:w="3213"/>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Copa Catalunya (regional)</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2400"/>
        <w:gridCol w:w="1800"/>
        <w:gridCol w:w="1800"/>
        <w:gridCol w:w="3026"/>
      </w:tblGrid>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Club</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Eq. masculins</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Eq. femenins</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Ràtio / Observació</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UB Sant Adrià</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31</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 — 100% inversió exclusiva homes</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Joventut Badalona</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28</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14:1 — Desequilibri extrem</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CB L’Hospitalet</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18</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3</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6:1 — Desequilibri greu</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CB Granollers</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35</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20</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1,75:1</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Boet Mataró</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28</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20</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1,4:1</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CB Grup Barna</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22</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18</w:t>
            </w:r>
          </w:p>
        </w:tc>
        <w:tc>
          <w:tcPr>
            <w:tcW w:type="dxa" w:w="30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1,2:1 — Equilibri notable</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1800"/>
        <w:gridCol w:w="1400"/>
        <w:gridCol w:w="1600"/>
        <w:gridCol w:w="1400"/>
        <w:gridCol w:w="2826"/>
      </w:tblGrid>
      <w:tr>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Territori</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Població</w:t>
            </w:r>
          </w:p>
        </w:tc>
        <w:tc>
          <w:tcPr>
            <w:tcW w:type="dxa" w:w="1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Base femenina</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Conversió</w:t>
            </w:r>
          </w:p>
        </w:tc>
        <w:tc>
          <w:tcPr>
            <w:tcW w:type="dxa" w:w="28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Factor diferencial</w:t>
            </w:r>
          </w:p>
        </w:tc>
      </w:tr>
      <w:tr>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La Seu d’Urgell</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12.000</w:t>
            </w:r>
          </w:p>
        </w:tc>
        <w:tc>
          <w:tcPr>
            <w:tcW w:type="dxa" w:w="1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~8 eq.</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12,5%</w:t>
            </w:r>
          </w:p>
        </w:tc>
        <w:tc>
          <w:tcPr>
            <w:tcW w:type="dxa" w:w="28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Identitat concentrada</w:t>
            </w:r>
          </w:p>
        </w:tc>
      </w:tr>
      <w:tr>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Girona</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103.000</w:t>
            </w:r>
          </w:p>
        </w:tc>
        <w:tc>
          <w:tcPr>
            <w:tcW w:type="dxa" w:w="1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~30 eq.</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~6,7%</w:t>
            </w:r>
          </w:p>
        </w:tc>
        <w:tc>
          <w:tcPr>
            <w:tcW w:type="dxa" w:w="28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Suport institucional</w:t>
            </w:r>
          </w:p>
        </w:tc>
      </w:tr>
      <w:tr>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Mataró</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130.000</w:t>
            </w:r>
          </w:p>
        </w:tc>
        <w:tc>
          <w:tcPr>
            <w:tcW w:type="dxa" w:w="1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~25 eq.</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~4%</w:t>
            </w:r>
          </w:p>
        </w:tc>
        <w:tc>
          <w:tcPr>
            <w:tcW w:type="dxa" w:w="28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Pol d’atracció</w:t>
            </w:r>
          </w:p>
        </w:tc>
      </w:tr>
      <w:tr>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Madrid</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3.500.000</w:t>
            </w:r>
          </w:p>
        </w:tc>
        <w:tc>
          <w:tcPr>
            <w:tcW w:type="dxa" w:w="1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~100+ eq.</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~4%</w:t>
            </w:r>
          </w:p>
        </w:tc>
        <w:tc>
          <w:tcPr>
            <w:tcW w:type="dxa" w:w="28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Profunditat competitiva</w:t>
            </w:r>
          </w:p>
        </w:tc>
      </w:tr>
      <w:tr>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Barcelona</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1.600.000</w:t>
            </w:r>
          </w:p>
        </w:tc>
        <w:tc>
          <w:tcPr>
            <w:tcW w:type="dxa" w:w="1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134 eq.</w:t>
            </w:r>
          </w:p>
        </w:tc>
        <w:tc>
          <w:tcPr>
            <w:tcW w:type="dxa" w:w="1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0,75%</w:t>
            </w:r>
          </w:p>
        </w:tc>
        <w:tc>
          <w:tcPr>
            <w:tcW w:type="dxa" w:w="28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Sistema trencat</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2600"/>
        <w:gridCol w:w="1800"/>
        <w:gridCol w:w="2200"/>
        <w:gridCol w:w="2426"/>
      </w:tblGrid>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Indicador</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Valor 2026</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Objectiu 2028</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Responsable</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Equips BCN a LF2 femení</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1-2</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Clubs + Ajuntament</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Equips BCN a LF Challenge</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2-3</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Clubs + FCBQ</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Llicències femenines BCN</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~1.800</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2.340 (+30%)</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FCBQ + Clubs</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Ràtio masculí/femení</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1,51:1</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1,22:1</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FCBQ + Ajuntament</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Beques socials atorgades</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80-100</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300</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IBE</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Pavellons amb franges fem.</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0</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6</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IBE + Districtes</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Retransmissions mensuals</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0-1</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4</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BTV + Clubs</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Entrenadores formades</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30 (acumulat)</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FCBQ + Ajuntament</w:t>
            </w:r>
          </w:p>
        </w:tc>
      </w:tr>
      <w:tr>
        <w:tc>
          <w:tcPr>
            <w:tcW w:type="dxa" w:w="26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Esdeveniments estatals</w:t>
            </w:r>
          </w:p>
        </w:tc>
        <w:tc>
          <w:tcPr>
            <w:tcW w:type="dxa" w:w="18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0</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1-2 anuals</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Ajuntament + FEB</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2000"/>
        <w:gridCol w:w="2200"/>
        <w:gridCol w:w="2400"/>
        <w:gridCol w:w="2426"/>
      </w:tblGrid>
      <w:tr>
        <w:tc>
          <w:tcPr>
            <w:tcW w:type="dxa" w:w="2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Club</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Categoria actual</w:t>
            </w:r>
          </w:p>
        </w:tc>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Escenari previsible</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Impacte</w:t>
            </w:r>
          </w:p>
        </w:tc>
      </w:tr>
      <w:tr>
        <w:tc>
          <w:tcPr>
            <w:tcW w:type="dxa" w:w="2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CB Santfeliuenc</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LF Challenge (16a)</w:t>
            </w:r>
          </w:p>
        </w:tc>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Descens o desaparició</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Vacant LF2/Challenge</w:t>
            </w:r>
          </w:p>
        </w:tc>
      </w:tr>
      <w:tr>
        <w:tc>
          <w:tcPr>
            <w:tcW w:type="dxa" w:w="2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Lima-Horta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LF Challenge (10a)</w:t>
            </w:r>
          </w:p>
        </w:tc>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Permanència incerta</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Si baixa: BCN sense LF Challenge</w:t>
            </w:r>
          </w:p>
        </w:tc>
      </w:tr>
      <w:tr>
        <w:tc>
          <w:tcPr>
            <w:tcW w:type="dxa" w:w="2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SESE</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Super Copa (6-8)</w:t>
            </w:r>
          </w:p>
        </w:tc>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Risc descens</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BCN perd club històric</w:t>
            </w:r>
          </w:p>
        </w:tc>
      </w:tr>
      <w:tr>
        <w:tc>
          <w:tcPr>
            <w:tcW w:type="dxa" w:w="20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CB Grup Barna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Super Copa (10-4)</w:t>
            </w:r>
          </w:p>
        </w:tc>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Opcions ascens a LF2</w:t>
            </w:r>
          </w:p>
        </w:tc>
        <w:tc>
          <w:tcPr>
            <w:tcW w:type="dxa" w:w="24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BCN guanya repr. FEB</w:t>
            </w:r>
          </w:p>
        </w:tc>
      </w:tr>
    </w:tbl>
    <w:tbl>
      <w:tblPr>
        <w:tblW w:type="dxa" w:w="9026"/>
        <w:tblBorders>
          <w:top w:val="single" w:sz="6" w:color="1A2E4A"/>
          <w:left w:val="single" w:sz="6" w:color="1A2E4A"/>
          <w:bottom w:val="single" w:sz="6" w:color="1A2E4A"/>
          <w:right w:val="single" w:sz="6" w:color="1A2E4A"/>
          <w:insideH w:val="single" w:sz="2" w:color="AAAAAA"/>
          <w:insideV w:val="single" w:sz="2" w:color="AAAAAA"/>
        </w:tblBorders>
      </w:tblPr>
      <w:tblGrid>
        <w:gridCol w:w="2400"/>
        <w:gridCol w:w="2200"/>
        <w:gridCol w:w="2200"/>
        <w:gridCol w:w="2226"/>
      </w:tblGrid>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Indicador</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Què mesura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CB Grup Barna</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1A2E4A"/>
          </w:tcPr>
          <w:p>
            <w:pPr>
              <w:jc w:val="center"/>
              <w:spacing w:before="40" w:after="40"/>
            </w:pPr>
            <w:r>
              <w:rPr>
                <w:rFonts w:ascii="Calibri" w:cs="Arial" w:eastAsia="Arial" w:hAnsi="Calibri"/>
                <w:b/>
                <w:bCs/>
                <w:color w:val="FFFFFF"/>
                <w:sz w:val="19"/>
                <w:szCs w:val="18"/>
              </w:rPr>
              <w:t xml:space="preserve">Valor de referència</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 pressupost femení</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Decisió estratègica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50%</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≥45%</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 equips femenins / total</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Oferta estructural</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48,8%</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≥45%</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 staff tècnic femení</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Pipeline de lideratge</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65,5%</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≥40%</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Taxa retenció cadet→sènior</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Eficiència del sistema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Per mesurar</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E8EFF8"/>
          </w:tcPr>
          <w:p>
            <w:pPr>
              <w:jc w:val="left"/>
              <w:spacing w:before="40" w:after="40"/>
            </w:pPr>
            <w:r>
              <w:rPr>
                <w:rFonts w:ascii="Calibri" w:cs="Arial" w:eastAsia="Arial" w:hAnsi="Calibri"/>
                <w:b w:val="false"/>
                <w:bCs w:val="false"/>
                <w:color w:val="333333"/>
                <w:sz w:val="19"/>
                <w:szCs w:val="18"/>
              </w:rPr>
              <w:t xml:space="preserve">≥60%</w:t>
            </w:r>
          </w:p>
        </w:tc>
      </w:tr>
      <w:tr>
        <w:tc>
          <w:tcPr>
            <w:tcW w:type="dxa" w:w="24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 audiència XXSS femenina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Resposta orgànica</w:t>
            </w:r>
          </w:p>
        </w:tc>
        <w:tc>
          <w:tcPr>
            <w:tcW w:type="dxa" w:w="2200"/>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53,7%</w:t>
            </w:r>
          </w:p>
        </w:tc>
        <w:tc>
          <w:tcPr>
            <w:tcW w:type="dxa" w:w="2226"/>
            <w:tcBorders>
              <w:top w:val="single" w:color="BDC3C7" w:sz="1"/>
              <w:left w:val="single" w:color="BDC3C7" w:sz="1"/>
              <w:bottom w:val="single" w:color="BDC3C7" w:sz="1"/>
              <w:right w:val="single" w:color="BDC3C7" w:sz="1"/>
            </w:tcBorders>
            <w:tcMar>
              <w:top w:type="dxa" w:w="60"/>
              <w:left w:type="dxa" w:w="100"/>
              <w:bottom w:type="dxa" w:w="60"/>
              <w:right w:type="dxa" w:w="100"/>
            </w:tcMar>
            <w:shd w:val="clear" w:color="auto" w:fill="FFFFFF"/>
          </w:tcPr>
          <w:p>
            <w:pPr>
              <w:jc w:val="left"/>
              <w:spacing w:before="40" w:after="40"/>
            </w:pPr>
            <w:r>
              <w:rPr>
                <w:rFonts w:ascii="Calibri" w:cs="Arial" w:eastAsia="Arial" w:hAnsi="Calibri"/>
                <w:b w:val="false"/>
                <w:bCs w:val="false"/>
                <w:color w:val="333333"/>
                <w:sz w:val="19"/>
                <w:szCs w:val="18"/>
              </w:rPr>
              <w:t xml:space="preserve">≥45%</w:t>
            </w:r>
          </w:p>
        </w:tc>
      </w:tr>
    </w:tbl>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right" w:pos="8640"/>
      </w:tabs>
      <w:pBdr>
        <w:top w:val="single" w:sz="4" w:space="4" w:color="1A2E4A"/>
      </w:pBdr>
      <w:spacing w:before="40" w:after="0"/>
    </w:pPr>
    <w:r>
      <w:rPr>
        <w:rFonts w:ascii="Calibri" w:hAnsi="Calibri"/>
        <w:b w:val="0"/>
        <w:i/>
        <w:color w:val="888888"/>
        <w:sz w:val="16"/>
      </w:rPr>
      <w:t xml:space="preserve">La Bretxa de Gènere en el Bàsquet — Barcelona, 2026    </w:t>
    </w:r>
    <w:r>
      <w:rPr>
        <w:sz w:val="16"/>
      </w:rPr>
      <w:tab/>
    </w:r>
    <w:r>
      <w:fldChar w:fldCharType="begin"/>
      <w:instrText>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