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77A5" w14:textId="77777777" w:rsidR="00FF061D" w:rsidRDefault="00FF061D">
      <w:pPr>
        <w:spacing w:after="80"/>
      </w:pPr>
    </w:p>
    <w:p w14:paraId="3283B8D4" w14:textId="77777777" w:rsidR="00FF061D" w:rsidRDefault="00FF061D">
      <w:pPr>
        <w:spacing w:after="80"/>
      </w:pPr>
    </w:p>
    <w:p w14:paraId="0256663A" w14:textId="77777777" w:rsidR="00FF061D" w:rsidRDefault="00FF061D">
      <w:pPr>
        <w:spacing w:after="80"/>
      </w:pPr>
    </w:p>
    <w:p w14:paraId="479C5DF1" w14:textId="77777777" w:rsidR="00FF061D" w:rsidRDefault="00FF061D">
      <w:pPr>
        <w:spacing w:after="80"/>
      </w:pPr>
    </w:p>
    <w:p w14:paraId="54CCBA19" w14:textId="77777777" w:rsidR="00FF061D" w:rsidRDefault="00FF061D">
      <w:pPr>
        <w:spacing w:after="80"/>
      </w:pPr>
    </w:p>
    <w:p w14:paraId="4D0C2FDE" w14:textId="77777777" w:rsidR="00FF061D" w:rsidRDefault="00000000">
      <w:pPr>
        <w:pBdr>
          <w:left w:val="single" w:sz="12" w:space="12" w:color="C41E3A"/>
        </w:pBdr>
      </w:pPr>
      <w:r>
        <w:rPr>
          <w:color w:val="666666"/>
          <w:spacing w:val="200"/>
          <w:sz w:val="22"/>
          <w:szCs w:val="22"/>
        </w:rPr>
        <w:t>INFORME INSTITUCIONAL</w:t>
      </w:r>
    </w:p>
    <w:p w14:paraId="679528DE" w14:textId="77777777" w:rsidR="00FF061D" w:rsidRDefault="00FF061D">
      <w:pPr>
        <w:spacing w:after="80"/>
      </w:pPr>
    </w:p>
    <w:p w14:paraId="604DC8F4" w14:textId="77777777" w:rsidR="00FF061D" w:rsidRDefault="00000000">
      <w:pPr>
        <w:pBdr>
          <w:left w:val="single" w:sz="12" w:space="12" w:color="C41E3A"/>
        </w:pBdr>
      </w:pPr>
      <w:r>
        <w:rPr>
          <w:b/>
          <w:bCs/>
          <w:color w:val="1B3A5C"/>
          <w:sz w:val="44"/>
          <w:szCs w:val="44"/>
        </w:rPr>
        <w:t>EL BALONCESTO FEMENINO</w:t>
      </w:r>
    </w:p>
    <w:p w14:paraId="23231F98" w14:textId="77777777" w:rsidR="00FF061D" w:rsidRDefault="00000000">
      <w:pPr>
        <w:pBdr>
          <w:left w:val="single" w:sz="12" w:space="12" w:color="C41E3A"/>
        </w:pBdr>
      </w:pPr>
      <w:r>
        <w:rPr>
          <w:b/>
          <w:bCs/>
          <w:color w:val="1B3A5C"/>
          <w:sz w:val="44"/>
          <w:szCs w:val="44"/>
        </w:rPr>
        <w:t>EN BARCELONA</w:t>
      </w:r>
    </w:p>
    <w:p w14:paraId="157FD3BA" w14:textId="77777777" w:rsidR="00FF061D" w:rsidRDefault="00FF061D">
      <w:pPr>
        <w:spacing w:after="80"/>
      </w:pPr>
    </w:p>
    <w:p w14:paraId="63EA4150" w14:textId="77777777" w:rsidR="00FF061D" w:rsidRDefault="00000000">
      <w:pPr>
        <w:pBdr>
          <w:left w:val="single" w:sz="12" w:space="12" w:color="C41E3A"/>
        </w:pBdr>
        <w:spacing w:after="200"/>
      </w:pPr>
      <w:r>
        <w:rPr>
          <w:color w:val="666666"/>
          <w:sz w:val="26"/>
          <w:szCs w:val="26"/>
        </w:rPr>
        <w:t>Diagnóstico, oportunidades estratégicas y propuesta</w:t>
      </w:r>
    </w:p>
    <w:p w14:paraId="2CD8837D" w14:textId="77777777" w:rsidR="00FF061D" w:rsidRDefault="00000000">
      <w:pPr>
        <w:pBdr>
          <w:left w:val="single" w:sz="12" w:space="12" w:color="C41E3A"/>
        </w:pBdr>
      </w:pPr>
      <w:r>
        <w:rPr>
          <w:color w:val="666666"/>
          <w:sz w:val="26"/>
          <w:szCs w:val="26"/>
        </w:rPr>
        <w:t>de impulso al deporte femenino de base</w:t>
      </w:r>
    </w:p>
    <w:p w14:paraId="09391BB2" w14:textId="77777777" w:rsidR="00FF061D" w:rsidRDefault="00FF061D">
      <w:pPr>
        <w:spacing w:after="80"/>
      </w:pPr>
    </w:p>
    <w:p w14:paraId="6EE82180" w14:textId="77777777" w:rsidR="00FF061D" w:rsidRDefault="00FF061D">
      <w:pPr>
        <w:spacing w:after="80"/>
      </w:pPr>
    </w:p>
    <w:p w14:paraId="5A5A2149" w14:textId="77777777" w:rsidR="00FF061D" w:rsidRDefault="00FF061D">
      <w:pPr>
        <w:spacing w:after="80"/>
      </w:pPr>
    </w:p>
    <w:p w14:paraId="4EBBDC0A" w14:textId="77777777" w:rsidR="00FF061D" w:rsidRDefault="00FF061D">
      <w:pPr>
        <w:spacing w:after="80"/>
      </w:pPr>
    </w:p>
    <w:p w14:paraId="17F54267" w14:textId="77777777" w:rsidR="00FF061D" w:rsidRDefault="00FF061D">
      <w:pPr>
        <w:spacing w:after="80"/>
      </w:pPr>
    </w:p>
    <w:p w14:paraId="370129EF" w14:textId="77777777" w:rsidR="00FF061D" w:rsidRDefault="00FF061D">
      <w:pPr>
        <w:spacing w:after="80"/>
      </w:pPr>
    </w:p>
    <w:p w14:paraId="42B2785C" w14:textId="77777777" w:rsidR="00FF061D" w:rsidRDefault="00FF061D">
      <w:pPr>
        <w:spacing w:after="80"/>
      </w:pPr>
    </w:p>
    <w:p w14:paraId="53C046A6" w14:textId="77777777" w:rsidR="00FF061D" w:rsidRDefault="00FF061D">
      <w:pPr>
        <w:spacing w:after="80"/>
      </w:pPr>
    </w:p>
    <w:p w14:paraId="1263375B" w14:textId="77777777" w:rsidR="00FF061D" w:rsidRDefault="00FF061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FF061D" w14:paraId="197C857D" w14:textId="77777777">
        <w:tblPrEx>
          <w:tblCellMar>
            <w:top w:w="0" w:type="dxa"/>
            <w:bottom w:w="0" w:type="dxa"/>
          </w:tblCellMar>
        </w:tblPrEx>
        <w:tc>
          <w:tcPr>
            <w:tcW w:w="3000" w:type="dxa"/>
          </w:tcPr>
          <w:p w14:paraId="034F6ADD" w14:textId="77777777" w:rsidR="00FF061D" w:rsidRDefault="00000000">
            <w:r>
              <w:rPr>
                <w:b/>
                <w:bCs/>
                <w:color w:val="666666"/>
                <w:sz w:val="20"/>
                <w:szCs w:val="20"/>
              </w:rPr>
              <w:t>Dirigido a:</w:t>
            </w:r>
          </w:p>
        </w:tc>
        <w:tc>
          <w:tcPr>
            <w:tcW w:w="6026" w:type="dxa"/>
          </w:tcPr>
          <w:p w14:paraId="18C35ABB" w14:textId="77777777" w:rsidR="00FF061D" w:rsidRDefault="00000000">
            <w:r>
              <w:rPr>
                <w:color w:val="333333"/>
                <w:sz w:val="20"/>
                <w:szCs w:val="20"/>
              </w:rPr>
              <w:t xml:space="preserve">Ilmo. Sr. </w:t>
            </w:r>
            <w:proofErr w:type="gramStart"/>
            <w:r>
              <w:rPr>
                <w:color w:val="333333"/>
                <w:sz w:val="20"/>
                <w:szCs w:val="20"/>
              </w:rPr>
              <w:t>Alcalde</w:t>
            </w:r>
            <w:proofErr w:type="gramEnd"/>
            <w:r>
              <w:rPr>
                <w:color w:val="333333"/>
                <w:sz w:val="20"/>
                <w:szCs w:val="20"/>
              </w:rPr>
              <w:t xml:space="preserve"> de Barcelona</w:t>
            </w:r>
          </w:p>
        </w:tc>
      </w:tr>
      <w:tr w:rsidR="00FF061D" w14:paraId="373E5FA6" w14:textId="77777777">
        <w:tblPrEx>
          <w:tblCellMar>
            <w:top w:w="0" w:type="dxa"/>
            <w:bottom w:w="0" w:type="dxa"/>
          </w:tblCellMar>
        </w:tblPrEx>
        <w:tc>
          <w:tcPr>
            <w:tcW w:w="3000" w:type="dxa"/>
          </w:tcPr>
          <w:p w14:paraId="5919D6D0" w14:textId="77777777" w:rsidR="00FF061D" w:rsidRDefault="00000000">
            <w:r>
              <w:rPr>
                <w:b/>
                <w:bCs/>
                <w:color w:val="666666"/>
                <w:sz w:val="20"/>
                <w:szCs w:val="20"/>
              </w:rPr>
              <w:t>Presentado por:</w:t>
            </w:r>
          </w:p>
        </w:tc>
        <w:tc>
          <w:tcPr>
            <w:tcW w:w="6026" w:type="dxa"/>
          </w:tcPr>
          <w:p w14:paraId="4F52D190" w14:textId="77777777" w:rsidR="00FF061D" w:rsidRDefault="00000000">
            <w:r>
              <w:rPr>
                <w:color w:val="333333"/>
                <w:sz w:val="20"/>
                <w:szCs w:val="20"/>
              </w:rPr>
              <w:t xml:space="preserve">CB </w:t>
            </w:r>
            <w:proofErr w:type="spellStart"/>
            <w:r>
              <w:rPr>
                <w:color w:val="333333"/>
                <w:sz w:val="20"/>
                <w:szCs w:val="20"/>
              </w:rPr>
              <w:t>Grup</w:t>
            </w:r>
            <w:proofErr w:type="spellEnd"/>
            <w:r>
              <w:rPr>
                <w:color w:val="333333"/>
                <w:sz w:val="20"/>
                <w:szCs w:val="20"/>
              </w:rPr>
              <w:t xml:space="preserve"> Barna – Club de </w:t>
            </w:r>
            <w:proofErr w:type="spellStart"/>
            <w:r>
              <w:rPr>
                <w:color w:val="333333"/>
                <w:sz w:val="20"/>
                <w:szCs w:val="20"/>
              </w:rPr>
              <w:t>Bàsquet</w:t>
            </w:r>
            <w:proofErr w:type="spellEnd"/>
            <w:r>
              <w:rPr>
                <w:color w:val="333333"/>
                <w:sz w:val="20"/>
                <w:szCs w:val="20"/>
              </w:rPr>
              <w:t xml:space="preserve"> del Clot</w:t>
            </w:r>
          </w:p>
        </w:tc>
      </w:tr>
      <w:tr w:rsidR="00FF061D" w14:paraId="5CA3479A" w14:textId="77777777">
        <w:tblPrEx>
          <w:tblCellMar>
            <w:top w:w="0" w:type="dxa"/>
            <w:bottom w:w="0" w:type="dxa"/>
          </w:tblCellMar>
        </w:tblPrEx>
        <w:tc>
          <w:tcPr>
            <w:tcW w:w="3000" w:type="dxa"/>
          </w:tcPr>
          <w:p w14:paraId="6EE83114" w14:textId="77777777" w:rsidR="00FF061D" w:rsidRDefault="00000000">
            <w:r>
              <w:rPr>
                <w:b/>
                <w:bCs/>
                <w:color w:val="666666"/>
                <w:sz w:val="20"/>
                <w:szCs w:val="20"/>
              </w:rPr>
              <w:t>Fecha:</w:t>
            </w:r>
          </w:p>
        </w:tc>
        <w:tc>
          <w:tcPr>
            <w:tcW w:w="6026" w:type="dxa"/>
          </w:tcPr>
          <w:p w14:paraId="5CAFBAEF" w14:textId="77777777" w:rsidR="00FF061D" w:rsidRDefault="00000000">
            <w:r>
              <w:rPr>
                <w:color w:val="333333"/>
                <w:sz w:val="20"/>
                <w:szCs w:val="20"/>
              </w:rPr>
              <w:t>Febrero de 2026</w:t>
            </w:r>
          </w:p>
        </w:tc>
      </w:tr>
      <w:tr w:rsidR="00FF061D" w14:paraId="0665F89A" w14:textId="77777777">
        <w:tblPrEx>
          <w:tblCellMar>
            <w:top w:w="0" w:type="dxa"/>
            <w:bottom w:w="0" w:type="dxa"/>
          </w:tblCellMar>
        </w:tblPrEx>
        <w:tc>
          <w:tcPr>
            <w:tcW w:w="3000" w:type="dxa"/>
          </w:tcPr>
          <w:p w14:paraId="7EFEC48B" w14:textId="77777777" w:rsidR="00FF061D" w:rsidRDefault="00000000">
            <w:r>
              <w:rPr>
                <w:b/>
                <w:bCs/>
                <w:color w:val="666666"/>
                <w:sz w:val="20"/>
                <w:szCs w:val="20"/>
              </w:rPr>
              <w:t>Clasificación:</w:t>
            </w:r>
          </w:p>
        </w:tc>
        <w:tc>
          <w:tcPr>
            <w:tcW w:w="6026" w:type="dxa"/>
          </w:tcPr>
          <w:p w14:paraId="0EC71464" w14:textId="77777777" w:rsidR="00FF061D" w:rsidRDefault="00000000">
            <w:r>
              <w:rPr>
                <w:b/>
                <w:bCs/>
                <w:color w:val="C41E3A"/>
                <w:sz w:val="20"/>
                <w:szCs w:val="20"/>
              </w:rPr>
              <w:t>CONFIDENCIAL</w:t>
            </w:r>
          </w:p>
        </w:tc>
      </w:tr>
    </w:tbl>
    <w:p w14:paraId="10FEEF3C" w14:textId="77777777" w:rsidR="00FF061D" w:rsidRDefault="00FF061D">
      <w:pPr>
        <w:sectPr w:rsidR="00FF061D">
          <w:pgSz w:w="11906" w:h="16838"/>
          <w:pgMar w:top="1440" w:right="1440" w:bottom="1440" w:left="1440" w:header="708" w:footer="708" w:gutter="0"/>
          <w:cols w:space="720"/>
          <w:docGrid w:linePitch="360"/>
        </w:sectPr>
      </w:pPr>
    </w:p>
    <w:p w14:paraId="1F2C889F" w14:textId="77777777" w:rsidR="00FF061D" w:rsidRDefault="00000000">
      <w:pPr>
        <w:spacing w:after="300"/>
      </w:pPr>
      <w:r>
        <w:rPr>
          <w:b/>
          <w:bCs/>
          <w:color w:val="1B3A5C"/>
          <w:sz w:val="28"/>
          <w:szCs w:val="28"/>
        </w:rPr>
        <w:lastRenderedPageBreak/>
        <w:t>ÍNDICE</w:t>
      </w:r>
    </w:p>
    <w:sdt>
      <w:sdtPr>
        <w:alias w:val="Tabla de Contenidos"/>
        <w:id w:val="-1115367961"/>
      </w:sdtPr>
      <w:sdtContent>
        <w:p w14:paraId="0A81FB9B" w14:textId="77777777" w:rsidR="00173D4A" w:rsidRDefault="00000000">
          <w:pPr>
            <w:pStyle w:val="TDC1"/>
            <w:tabs>
              <w:tab w:val="right" w:leader="dot" w:pos="9016"/>
            </w:tabs>
            <w:rPr>
              <w:noProof/>
            </w:rPr>
          </w:pPr>
          <w:r>
            <w:fldChar w:fldCharType="begin"/>
          </w:r>
          <w:r>
            <w:instrText>TOC \h \o "1-2"</w:instrText>
          </w:r>
          <w:r>
            <w:fldChar w:fldCharType="separate"/>
          </w:r>
          <w:hyperlink w:anchor="_Toc224839629" w:history="1">
            <w:r w:rsidR="00173D4A" w:rsidRPr="00410996">
              <w:rPr>
                <w:rStyle w:val="Hipervnculo"/>
                <w:noProof/>
              </w:rPr>
              <w:t>RESUMEN EJECUTIVO</w:t>
            </w:r>
            <w:r w:rsidR="00173D4A">
              <w:rPr>
                <w:noProof/>
              </w:rPr>
              <w:tab/>
            </w:r>
            <w:r w:rsidR="00173D4A">
              <w:rPr>
                <w:noProof/>
              </w:rPr>
              <w:fldChar w:fldCharType="begin"/>
            </w:r>
            <w:r w:rsidR="00173D4A">
              <w:rPr>
                <w:noProof/>
              </w:rPr>
              <w:instrText xml:space="preserve"> PAGEREF _Toc224839629 \h </w:instrText>
            </w:r>
            <w:r w:rsidR="00173D4A">
              <w:rPr>
                <w:noProof/>
              </w:rPr>
            </w:r>
            <w:r w:rsidR="00173D4A">
              <w:rPr>
                <w:noProof/>
              </w:rPr>
              <w:fldChar w:fldCharType="separate"/>
            </w:r>
            <w:r w:rsidR="00173D4A">
              <w:rPr>
                <w:noProof/>
              </w:rPr>
              <w:t>3</w:t>
            </w:r>
            <w:r w:rsidR="00173D4A">
              <w:rPr>
                <w:noProof/>
              </w:rPr>
              <w:fldChar w:fldCharType="end"/>
            </w:r>
          </w:hyperlink>
        </w:p>
        <w:p w14:paraId="379E137E" w14:textId="77777777" w:rsidR="00173D4A" w:rsidRDefault="00173D4A">
          <w:pPr>
            <w:pStyle w:val="TDC1"/>
            <w:tabs>
              <w:tab w:val="right" w:leader="dot" w:pos="9016"/>
            </w:tabs>
            <w:rPr>
              <w:noProof/>
            </w:rPr>
          </w:pPr>
          <w:hyperlink w:anchor="_Toc224839630" w:history="1">
            <w:r w:rsidRPr="00410996">
              <w:rPr>
                <w:rStyle w:val="Hipervnculo"/>
                <w:noProof/>
              </w:rPr>
              <w:t>1. CONTEXTO: EL MAPA DEL BALONCESTO FEMENINO EN CATALUÑA</w:t>
            </w:r>
            <w:r>
              <w:rPr>
                <w:noProof/>
              </w:rPr>
              <w:tab/>
            </w:r>
            <w:r>
              <w:rPr>
                <w:noProof/>
              </w:rPr>
              <w:fldChar w:fldCharType="begin"/>
            </w:r>
            <w:r>
              <w:rPr>
                <w:noProof/>
              </w:rPr>
              <w:instrText xml:space="preserve"> PAGEREF _Toc224839630 \h </w:instrText>
            </w:r>
            <w:r>
              <w:rPr>
                <w:noProof/>
              </w:rPr>
            </w:r>
            <w:r>
              <w:rPr>
                <w:noProof/>
              </w:rPr>
              <w:fldChar w:fldCharType="separate"/>
            </w:r>
            <w:r>
              <w:rPr>
                <w:noProof/>
              </w:rPr>
              <w:t>4</w:t>
            </w:r>
            <w:r>
              <w:rPr>
                <w:noProof/>
              </w:rPr>
              <w:fldChar w:fldCharType="end"/>
            </w:r>
          </w:hyperlink>
        </w:p>
        <w:p w14:paraId="465EACBA" w14:textId="77777777" w:rsidR="00173D4A" w:rsidRDefault="00173D4A">
          <w:pPr>
            <w:pStyle w:val="TDC2"/>
            <w:tabs>
              <w:tab w:val="right" w:leader="dot" w:pos="9016"/>
            </w:tabs>
            <w:rPr>
              <w:noProof/>
            </w:rPr>
          </w:pPr>
          <w:hyperlink w:anchor="_Toc224839631" w:history="1">
            <w:r w:rsidRPr="00410996">
              <w:rPr>
                <w:rStyle w:val="Hipervnculo"/>
                <w:noProof/>
              </w:rPr>
              <w:t>1.1 Estructura competitiva estatal</w:t>
            </w:r>
            <w:r>
              <w:rPr>
                <w:noProof/>
              </w:rPr>
              <w:tab/>
            </w:r>
            <w:r>
              <w:rPr>
                <w:noProof/>
              </w:rPr>
              <w:fldChar w:fldCharType="begin"/>
            </w:r>
            <w:r>
              <w:rPr>
                <w:noProof/>
              </w:rPr>
              <w:instrText xml:space="preserve"> PAGEREF _Toc224839631 \h </w:instrText>
            </w:r>
            <w:r>
              <w:rPr>
                <w:noProof/>
              </w:rPr>
            </w:r>
            <w:r>
              <w:rPr>
                <w:noProof/>
              </w:rPr>
              <w:fldChar w:fldCharType="separate"/>
            </w:r>
            <w:r>
              <w:rPr>
                <w:noProof/>
              </w:rPr>
              <w:t>4</w:t>
            </w:r>
            <w:r>
              <w:rPr>
                <w:noProof/>
              </w:rPr>
              <w:fldChar w:fldCharType="end"/>
            </w:r>
          </w:hyperlink>
        </w:p>
        <w:p w14:paraId="39154140" w14:textId="77777777" w:rsidR="00173D4A" w:rsidRDefault="00173D4A">
          <w:pPr>
            <w:pStyle w:val="TDC2"/>
            <w:tabs>
              <w:tab w:val="right" w:leader="dot" w:pos="9016"/>
            </w:tabs>
            <w:rPr>
              <w:noProof/>
            </w:rPr>
          </w:pPr>
          <w:hyperlink w:anchor="_Toc224839632" w:history="1">
            <w:r w:rsidRPr="00410996">
              <w:rPr>
                <w:rStyle w:val="Hipervnculo"/>
                <w:noProof/>
              </w:rPr>
              <w:t>1.2 Representación catalana por categorías</w:t>
            </w:r>
            <w:r>
              <w:rPr>
                <w:noProof/>
              </w:rPr>
              <w:tab/>
            </w:r>
            <w:r>
              <w:rPr>
                <w:noProof/>
              </w:rPr>
              <w:fldChar w:fldCharType="begin"/>
            </w:r>
            <w:r>
              <w:rPr>
                <w:noProof/>
              </w:rPr>
              <w:instrText xml:space="preserve"> PAGEREF _Toc224839632 \h </w:instrText>
            </w:r>
            <w:r>
              <w:rPr>
                <w:noProof/>
              </w:rPr>
            </w:r>
            <w:r>
              <w:rPr>
                <w:noProof/>
              </w:rPr>
              <w:fldChar w:fldCharType="separate"/>
            </w:r>
            <w:r>
              <w:rPr>
                <w:noProof/>
              </w:rPr>
              <w:t>4</w:t>
            </w:r>
            <w:r>
              <w:rPr>
                <w:noProof/>
              </w:rPr>
              <w:fldChar w:fldCharType="end"/>
            </w:r>
          </w:hyperlink>
        </w:p>
        <w:p w14:paraId="7F74FA61" w14:textId="77777777" w:rsidR="00173D4A" w:rsidRDefault="00173D4A">
          <w:pPr>
            <w:pStyle w:val="TDC1"/>
            <w:tabs>
              <w:tab w:val="right" w:leader="dot" w:pos="9016"/>
            </w:tabs>
            <w:rPr>
              <w:noProof/>
            </w:rPr>
          </w:pPr>
          <w:hyperlink w:anchor="_Toc224839633" w:history="1">
            <w:r w:rsidRPr="00410996">
              <w:rPr>
                <w:rStyle w:val="Hipervnculo"/>
                <w:noProof/>
              </w:rPr>
              <w:t>2. LA ANOMALÍA DE BARCELONA: UNA CIUDAD SIN BALONCESTO FEMENINO ESTATAL</w:t>
            </w:r>
            <w:r>
              <w:rPr>
                <w:noProof/>
              </w:rPr>
              <w:tab/>
            </w:r>
            <w:r>
              <w:rPr>
                <w:noProof/>
              </w:rPr>
              <w:fldChar w:fldCharType="begin"/>
            </w:r>
            <w:r>
              <w:rPr>
                <w:noProof/>
              </w:rPr>
              <w:instrText xml:space="preserve"> PAGEREF _Toc224839633 \h </w:instrText>
            </w:r>
            <w:r>
              <w:rPr>
                <w:noProof/>
              </w:rPr>
            </w:r>
            <w:r>
              <w:rPr>
                <w:noProof/>
              </w:rPr>
              <w:fldChar w:fldCharType="separate"/>
            </w:r>
            <w:r>
              <w:rPr>
                <w:noProof/>
              </w:rPr>
              <w:t>5</w:t>
            </w:r>
            <w:r>
              <w:rPr>
                <w:noProof/>
              </w:rPr>
              <w:fldChar w:fldCharType="end"/>
            </w:r>
          </w:hyperlink>
        </w:p>
        <w:p w14:paraId="45B65C0A" w14:textId="77777777" w:rsidR="00173D4A" w:rsidRDefault="00173D4A">
          <w:pPr>
            <w:pStyle w:val="TDC2"/>
            <w:tabs>
              <w:tab w:val="right" w:leader="dot" w:pos="9016"/>
            </w:tabs>
            <w:rPr>
              <w:noProof/>
            </w:rPr>
          </w:pPr>
          <w:hyperlink w:anchor="_Toc224839634" w:history="1">
            <w:r w:rsidRPr="00410996">
              <w:rPr>
                <w:rStyle w:val="Hipervnculo"/>
                <w:noProof/>
              </w:rPr>
              <w:t>2.1 Los datos</w:t>
            </w:r>
            <w:r>
              <w:rPr>
                <w:noProof/>
              </w:rPr>
              <w:tab/>
            </w:r>
            <w:r>
              <w:rPr>
                <w:noProof/>
              </w:rPr>
              <w:fldChar w:fldCharType="begin"/>
            </w:r>
            <w:r>
              <w:rPr>
                <w:noProof/>
              </w:rPr>
              <w:instrText xml:space="preserve"> PAGEREF _Toc224839634 \h </w:instrText>
            </w:r>
            <w:r>
              <w:rPr>
                <w:noProof/>
              </w:rPr>
            </w:r>
            <w:r>
              <w:rPr>
                <w:noProof/>
              </w:rPr>
              <w:fldChar w:fldCharType="separate"/>
            </w:r>
            <w:r>
              <w:rPr>
                <w:noProof/>
              </w:rPr>
              <w:t>5</w:t>
            </w:r>
            <w:r>
              <w:rPr>
                <w:noProof/>
              </w:rPr>
              <w:fldChar w:fldCharType="end"/>
            </w:r>
          </w:hyperlink>
        </w:p>
        <w:p w14:paraId="7FF5CEC2" w14:textId="77777777" w:rsidR="00173D4A" w:rsidRDefault="00173D4A">
          <w:pPr>
            <w:pStyle w:val="TDC2"/>
            <w:tabs>
              <w:tab w:val="right" w:leader="dot" w:pos="9016"/>
            </w:tabs>
            <w:rPr>
              <w:noProof/>
            </w:rPr>
          </w:pPr>
          <w:hyperlink w:anchor="_Toc224839635" w:history="1">
            <w:r w:rsidRPr="00410996">
              <w:rPr>
                <w:rStyle w:val="Hipervnculo"/>
                <w:noProof/>
              </w:rPr>
              <w:t>2.2 Causas estructurales del déficit</w:t>
            </w:r>
            <w:r>
              <w:rPr>
                <w:noProof/>
              </w:rPr>
              <w:tab/>
            </w:r>
            <w:r>
              <w:rPr>
                <w:noProof/>
              </w:rPr>
              <w:fldChar w:fldCharType="begin"/>
            </w:r>
            <w:r>
              <w:rPr>
                <w:noProof/>
              </w:rPr>
              <w:instrText xml:space="preserve"> PAGEREF _Toc224839635 \h </w:instrText>
            </w:r>
            <w:r>
              <w:rPr>
                <w:noProof/>
              </w:rPr>
            </w:r>
            <w:r>
              <w:rPr>
                <w:noProof/>
              </w:rPr>
              <w:fldChar w:fldCharType="separate"/>
            </w:r>
            <w:r>
              <w:rPr>
                <w:noProof/>
              </w:rPr>
              <w:t>5</w:t>
            </w:r>
            <w:r>
              <w:rPr>
                <w:noProof/>
              </w:rPr>
              <w:fldChar w:fldCharType="end"/>
            </w:r>
          </w:hyperlink>
        </w:p>
        <w:p w14:paraId="1409F498" w14:textId="77777777" w:rsidR="00173D4A" w:rsidRDefault="00173D4A">
          <w:pPr>
            <w:pStyle w:val="TDC1"/>
            <w:tabs>
              <w:tab w:val="right" w:leader="dot" w:pos="9016"/>
            </w:tabs>
            <w:rPr>
              <w:noProof/>
            </w:rPr>
          </w:pPr>
          <w:hyperlink w:anchor="_Toc224839636" w:history="1">
            <w:r w:rsidRPr="00410996">
              <w:rPr>
                <w:rStyle w:val="Hipervnculo"/>
                <w:noProof/>
              </w:rPr>
              <w:t>3. EL COLAPSO DE LOS MODELOS DEPENDIENTES</w:t>
            </w:r>
            <w:r>
              <w:rPr>
                <w:noProof/>
              </w:rPr>
              <w:tab/>
            </w:r>
            <w:r>
              <w:rPr>
                <w:noProof/>
              </w:rPr>
              <w:fldChar w:fldCharType="begin"/>
            </w:r>
            <w:r>
              <w:rPr>
                <w:noProof/>
              </w:rPr>
              <w:instrText xml:space="preserve"> PAGEREF _Toc224839636 \h </w:instrText>
            </w:r>
            <w:r>
              <w:rPr>
                <w:noProof/>
              </w:rPr>
            </w:r>
            <w:r>
              <w:rPr>
                <w:noProof/>
              </w:rPr>
              <w:fldChar w:fldCharType="separate"/>
            </w:r>
            <w:r>
              <w:rPr>
                <w:noProof/>
              </w:rPr>
              <w:t>6</w:t>
            </w:r>
            <w:r>
              <w:rPr>
                <w:noProof/>
              </w:rPr>
              <w:fldChar w:fldCharType="end"/>
            </w:r>
          </w:hyperlink>
        </w:p>
        <w:p w14:paraId="5CF93852" w14:textId="77777777" w:rsidR="00173D4A" w:rsidRDefault="00173D4A">
          <w:pPr>
            <w:pStyle w:val="TDC2"/>
            <w:tabs>
              <w:tab w:val="right" w:leader="dot" w:pos="9016"/>
            </w:tabs>
            <w:rPr>
              <w:noProof/>
            </w:rPr>
          </w:pPr>
          <w:hyperlink w:anchor="_Toc224839637" w:history="1">
            <w:r w:rsidRPr="00410996">
              <w:rPr>
                <w:rStyle w:val="Hipervnculo"/>
                <w:noProof/>
              </w:rPr>
              <w:t>3.1 El caso Barça CBS / CB Santfeliuenc</w:t>
            </w:r>
            <w:r>
              <w:rPr>
                <w:noProof/>
              </w:rPr>
              <w:tab/>
            </w:r>
            <w:r>
              <w:rPr>
                <w:noProof/>
              </w:rPr>
              <w:fldChar w:fldCharType="begin"/>
            </w:r>
            <w:r>
              <w:rPr>
                <w:noProof/>
              </w:rPr>
              <w:instrText xml:space="preserve"> PAGEREF _Toc224839637 \h </w:instrText>
            </w:r>
            <w:r>
              <w:rPr>
                <w:noProof/>
              </w:rPr>
            </w:r>
            <w:r>
              <w:rPr>
                <w:noProof/>
              </w:rPr>
              <w:fldChar w:fldCharType="separate"/>
            </w:r>
            <w:r>
              <w:rPr>
                <w:noProof/>
              </w:rPr>
              <w:t>6</w:t>
            </w:r>
            <w:r>
              <w:rPr>
                <w:noProof/>
              </w:rPr>
              <w:fldChar w:fldCharType="end"/>
            </w:r>
          </w:hyperlink>
        </w:p>
        <w:p w14:paraId="5FF2781B" w14:textId="77777777" w:rsidR="00173D4A" w:rsidRDefault="00173D4A">
          <w:pPr>
            <w:pStyle w:val="TDC2"/>
            <w:tabs>
              <w:tab w:val="right" w:leader="dot" w:pos="9016"/>
            </w:tabs>
            <w:rPr>
              <w:noProof/>
            </w:rPr>
          </w:pPr>
          <w:hyperlink w:anchor="_Toc224839638" w:history="1">
            <w:r w:rsidRPr="00410996">
              <w:rPr>
                <w:rStyle w:val="Hipervnculo"/>
                <w:noProof/>
              </w:rPr>
              <w:t>3.2 Las dificultades del Lima-Horta</w:t>
            </w:r>
            <w:r>
              <w:rPr>
                <w:noProof/>
              </w:rPr>
              <w:tab/>
            </w:r>
            <w:r>
              <w:rPr>
                <w:noProof/>
              </w:rPr>
              <w:fldChar w:fldCharType="begin"/>
            </w:r>
            <w:r>
              <w:rPr>
                <w:noProof/>
              </w:rPr>
              <w:instrText xml:space="preserve"> PAGEREF _Toc224839638 \h </w:instrText>
            </w:r>
            <w:r>
              <w:rPr>
                <w:noProof/>
              </w:rPr>
            </w:r>
            <w:r>
              <w:rPr>
                <w:noProof/>
              </w:rPr>
              <w:fldChar w:fldCharType="separate"/>
            </w:r>
            <w:r>
              <w:rPr>
                <w:noProof/>
              </w:rPr>
              <w:t>6</w:t>
            </w:r>
            <w:r>
              <w:rPr>
                <w:noProof/>
              </w:rPr>
              <w:fldChar w:fldCharType="end"/>
            </w:r>
          </w:hyperlink>
        </w:p>
        <w:p w14:paraId="73F6873C" w14:textId="77777777" w:rsidR="00173D4A" w:rsidRDefault="00173D4A">
          <w:pPr>
            <w:pStyle w:val="TDC2"/>
            <w:tabs>
              <w:tab w:val="right" w:leader="dot" w:pos="9016"/>
            </w:tabs>
            <w:rPr>
              <w:noProof/>
            </w:rPr>
          </w:pPr>
          <w:hyperlink w:anchor="_Toc224839639" w:history="1">
            <w:r w:rsidRPr="00410996">
              <w:rPr>
                <w:rStyle w:val="Hipervnculo"/>
                <w:noProof/>
              </w:rPr>
              <w:t>3.3 El SESE en Super Copa: otro club histórico en declive</w:t>
            </w:r>
            <w:r>
              <w:rPr>
                <w:noProof/>
              </w:rPr>
              <w:tab/>
            </w:r>
            <w:r>
              <w:rPr>
                <w:noProof/>
              </w:rPr>
              <w:fldChar w:fldCharType="begin"/>
            </w:r>
            <w:r>
              <w:rPr>
                <w:noProof/>
              </w:rPr>
              <w:instrText xml:space="preserve"> PAGEREF _Toc224839639 \h </w:instrText>
            </w:r>
            <w:r>
              <w:rPr>
                <w:noProof/>
              </w:rPr>
            </w:r>
            <w:r>
              <w:rPr>
                <w:noProof/>
              </w:rPr>
              <w:fldChar w:fldCharType="separate"/>
            </w:r>
            <w:r>
              <w:rPr>
                <w:noProof/>
              </w:rPr>
              <w:t>6</w:t>
            </w:r>
            <w:r>
              <w:rPr>
                <w:noProof/>
              </w:rPr>
              <w:fldChar w:fldCharType="end"/>
            </w:r>
          </w:hyperlink>
        </w:p>
        <w:p w14:paraId="53AF0A6C" w14:textId="77777777" w:rsidR="00173D4A" w:rsidRDefault="00173D4A">
          <w:pPr>
            <w:pStyle w:val="TDC1"/>
            <w:tabs>
              <w:tab w:val="right" w:leader="dot" w:pos="9016"/>
            </w:tabs>
            <w:rPr>
              <w:noProof/>
            </w:rPr>
          </w:pPr>
          <w:hyperlink w:anchor="_Toc224839640" w:history="1">
            <w:r w:rsidRPr="00410996">
              <w:rPr>
                <w:rStyle w:val="Hipervnculo"/>
                <w:noProof/>
              </w:rPr>
              <w:t>4. LA OPORTUNIDAD: CB GRUP BARNA COMO PROYECTO VERTEBRADOR</w:t>
            </w:r>
            <w:r>
              <w:rPr>
                <w:noProof/>
              </w:rPr>
              <w:tab/>
            </w:r>
            <w:r>
              <w:rPr>
                <w:noProof/>
              </w:rPr>
              <w:fldChar w:fldCharType="begin"/>
            </w:r>
            <w:r>
              <w:rPr>
                <w:noProof/>
              </w:rPr>
              <w:instrText xml:space="preserve"> PAGEREF _Toc224839640 \h </w:instrText>
            </w:r>
            <w:r>
              <w:rPr>
                <w:noProof/>
              </w:rPr>
            </w:r>
            <w:r>
              <w:rPr>
                <w:noProof/>
              </w:rPr>
              <w:fldChar w:fldCharType="separate"/>
            </w:r>
            <w:r>
              <w:rPr>
                <w:noProof/>
              </w:rPr>
              <w:t>7</w:t>
            </w:r>
            <w:r>
              <w:rPr>
                <w:noProof/>
              </w:rPr>
              <w:fldChar w:fldCharType="end"/>
            </w:r>
          </w:hyperlink>
        </w:p>
        <w:p w14:paraId="7D2FB436" w14:textId="77777777" w:rsidR="00173D4A" w:rsidRDefault="00173D4A">
          <w:pPr>
            <w:pStyle w:val="TDC2"/>
            <w:tabs>
              <w:tab w:val="right" w:leader="dot" w:pos="9016"/>
            </w:tabs>
            <w:rPr>
              <w:noProof/>
            </w:rPr>
          </w:pPr>
          <w:hyperlink w:anchor="_Toc224839641" w:history="1">
            <w:r w:rsidRPr="00410996">
              <w:rPr>
                <w:rStyle w:val="Hipervnculo"/>
                <w:noProof/>
              </w:rPr>
              <w:t>4.1 Perfil del club</w:t>
            </w:r>
            <w:r>
              <w:rPr>
                <w:noProof/>
              </w:rPr>
              <w:tab/>
            </w:r>
            <w:r>
              <w:rPr>
                <w:noProof/>
              </w:rPr>
              <w:fldChar w:fldCharType="begin"/>
            </w:r>
            <w:r>
              <w:rPr>
                <w:noProof/>
              </w:rPr>
              <w:instrText xml:space="preserve"> PAGEREF _Toc224839641 \h </w:instrText>
            </w:r>
            <w:r>
              <w:rPr>
                <w:noProof/>
              </w:rPr>
            </w:r>
            <w:r>
              <w:rPr>
                <w:noProof/>
              </w:rPr>
              <w:fldChar w:fldCharType="separate"/>
            </w:r>
            <w:r>
              <w:rPr>
                <w:noProof/>
              </w:rPr>
              <w:t>7</w:t>
            </w:r>
            <w:r>
              <w:rPr>
                <w:noProof/>
              </w:rPr>
              <w:fldChar w:fldCharType="end"/>
            </w:r>
          </w:hyperlink>
        </w:p>
        <w:p w14:paraId="2A2179CC" w14:textId="77777777" w:rsidR="00173D4A" w:rsidRDefault="00173D4A">
          <w:pPr>
            <w:pStyle w:val="TDC2"/>
            <w:tabs>
              <w:tab w:val="right" w:leader="dot" w:pos="9016"/>
            </w:tabs>
            <w:rPr>
              <w:noProof/>
            </w:rPr>
          </w:pPr>
          <w:hyperlink w:anchor="_Toc224839642" w:history="1">
            <w:r w:rsidRPr="00410996">
              <w:rPr>
                <w:rStyle w:val="Hipervnculo"/>
                <w:noProof/>
              </w:rPr>
              <w:t>4.2 Situación competitiva actual</w:t>
            </w:r>
            <w:r>
              <w:rPr>
                <w:noProof/>
              </w:rPr>
              <w:tab/>
            </w:r>
            <w:r>
              <w:rPr>
                <w:noProof/>
              </w:rPr>
              <w:fldChar w:fldCharType="begin"/>
            </w:r>
            <w:r>
              <w:rPr>
                <w:noProof/>
              </w:rPr>
              <w:instrText xml:space="preserve"> PAGEREF _Toc224839642 \h </w:instrText>
            </w:r>
            <w:r>
              <w:rPr>
                <w:noProof/>
              </w:rPr>
            </w:r>
            <w:r>
              <w:rPr>
                <w:noProof/>
              </w:rPr>
              <w:fldChar w:fldCharType="separate"/>
            </w:r>
            <w:r>
              <w:rPr>
                <w:noProof/>
              </w:rPr>
              <w:t>7</w:t>
            </w:r>
            <w:r>
              <w:rPr>
                <w:noProof/>
              </w:rPr>
              <w:fldChar w:fldCharType="end"/>
            </w:r>
          </w:hyperlink>
        </w:p>
        <w:p w14:paraId="614A5C73" w14:textId="77777777" w:rsidR="00173D4A" w:rsidRDefault="00173D4A">
          <w:pPr>
            <w:pStyle w:val="TDC2"/>
            <w:tabs>
              <w:tab w:val="right" w:leader="dot" w:pos="9016"/>
            </w:tabs>
            <w:rPr>
              <w:noProof/>
            </w:rPr>
          </w:pPr>
          <w:hyperlink w:anchor="_Toc224839643" w:history="1">
            <w:r w:rsidRPr="00410996">
              <w:rPr>
                <w:rStyle w:val="Hipervnculo"/>
                <w:noProof/>
              </w:rPr>
              <w:t>4.3 El modelo de dos equipos: clave de sostenibilidad</w:t>
            </w:r>
            <w:r>
              <w:rPr>
                <w:noProof/>
              </w:rPr>
              <w:tab/>
            </w:r>
            <w:r>
              <w:rPr>
                <w:noProof/>
              </w:rPr>
              <w:fldChar w:fldCharType="begin"/>
            </w:r>
            <w:r>
              <w:rPr>
                <w:noProof/>
              </w:rPr>
              <w:instrText xml:space="preserve"> PAGEREF _Toc224839643 \h </w:instrText>
            </w:r>
            <w:r>
              <w:rPr>
                <w:noProof/>
              </w:rPr>
            </w:r>
            <w:r>
              <w:rPr>
                <w:noProof/>
              </w:rPr>
              <w:fldChar w:fldCharType="separate"/>
            </w:r>
            <w:r>
              <w:rPr>
                <w:noProof/>
              </w:rPr>
              <w:t>7</w:t>
            </w:r>
            <w:r>
              <w:rPr>
                <w:noProof/>
              </w:rPr>
              <w:fldChar w:fldCharType="end"/>
            </w:r>
          </w:hyperlink>
        </w:p>
        <w:p w14:paraId="7CC9A3B5" w14:textId="77777777" w:rsidR="00173D4A" w:rsidRDefault="00173D4A">
          <w:pPr>
            <w:pStyle w:val="TDC2"/>
            <w:tabs>
              <w:tab w:val="right" w:leader="dot" w:pos="9016"/>
            </w:tabs>
            <w:rPr>
              <w:noProof/>
            </w:rPr>
          </w:pPr>
          <w:hyperlink w:anchor="_Toc224839644" w:history="1">
            <w:r w:rsidRPr="00410996">
              <w:rPr>
                <w:rStyle w:val="Hipervnculo"/>
                <w:noProof/>
              </w:rPr>
              <w:t>4.4 Vía de acceso a LF2</w:t>
            </w:r>
            <w:r>
              <w:rPr>
                <w:noProof/>
              </w:rPr>
              <w:tab/>
            </w:r>
            <w:r>
              <w:rPr>
                <w:noProof/>
              </w:rPr>
              <w:fldChar w:fldCharType="begin"/>
            </w:r>
            <w:r>
              <w:rPr>
                <w:noProof/>
              </w:rPr>
              <w:instrText xml:space="preserve"> PAGEREF _Toc224839644 \h </w:instrText>
            </w:r>
            <w:r>
              <w:rPr>
                <w:noProof/>
              </w:rPr>
            </w:r>
            <w:r>
              <w:rPr>
                <w:noProof/>
              </w:rPr>
              <w:fldChar w:fldCharType="separate"/>
            </w:r>
            <w:r>
              <w:rPr>
                <w:noProof/>
              </w:rPr>
              <w:t>7</w:t>
            </w:r>
            <w:r>
              <w:rPr>
                <w:noProof/>
              </w:rPr>
              <w:fldChar w:fldCharType="end"/>
            </w:r>
          </w:hyperlink>
        </w:p>
        <w:p w14:paraId="5E9A413A" w14:textId="77777777" w:rsidR="00173D4A" w:rsidRDefault="00173D4A">
          <w:pPr>
            <w:pStyle w:val="TDC1"/>
            <w:tabs>
              <w:tab w:val="right" w:leader="dot" w:pos="9016"/>
            </w:tabs>
            <w:rPr>
              <w:noProof/>
            </w:rPr>
          </w:pPr>
          <w:hyperlink w:anchor="_Toc224839645" w:history="1">
            <w:r w:rsidRPr="00410996">
              <w:rPr>
                <w:rStyle w:val="Hipervnculo"/>
                <w:noProof/>
              </w:rPr>
              <w:t>5. ESCENARIO PREVISIBLE: TEMPORADA 2026-27</w:t>
            </w:r>
            <w:r>
              <w:rPr>
                <w:noProof/>
              </w:rPr>
              <w:tab/>
            </w:r>
            <w:r>
              <w:rPr>
                <w:noProof/>
              </w:rPr>
              <w:fldChar w:fldCharType="begin"/>
            </w:r>
            <w:r>
              <w:rPr>
                <w:noProof/>
              </w:rPr>
              <w:instrText xml:space="preserve"> PAGEREF _Toc224839645 \h </w:instrText>
            </w:r>
            <w:r>
              <w:rPr>
                <w:noProof/>
              </w:rPr>
            </w:r>
            <w:r>
              <w:rPr>
                <w:noProof/>
              </w:rPr>
              <w:fldChar w:fldCharType="separate"/>
            </w:r>
            <w:r>
              <w:rPr>
                <w:noProof/>
              </w:rPr>
              <w:t>8</w:t>
            </w:r>
            <w:r>
              <w:rPr>
                <w:noProof/>
              </w:rPr>
              <w:fldChar w:fldCharType="end"/>
            </w:r>
          </w:hyperlink>
        </w:p>
        <w:p w14:paraId="5EC52C41" w14:textId="77777777" w:rsidR="00173D4A" w:rsidRDefault="00173D4A">
          <w:pPr>
            <w:pStyle w:val="TDC1"/>
            <w:tabs>
              <w:tab w:val="right" w:leader="dot" w:pos="9016"/>
            </w:tabs>
            <w:rPr>
              <w:noProof/>
            </w:rPr>
          </w:pPr>
          <w:hyperlink w:anchor="_Toc224839646" w:history="1">
            <w:r w:rsidRPr="00410996">
              <w:rPr>
                <w:rStyle w:val="Hipervnculo"/>
                <w:noProof/>
              </w:rPr>
              <w:t>6. PROPUESTA DE COLABORACIÓN INSTITUCIONAL</w:t>
            </w:r>
            <w:r>
              <w:rPr>
                <w:noProof/>
              </w:rPr>
              <w:tab/>
            </w:r>
            <w:r>
              <w:rPr>
                <w:noProof/>
              </w:rPr>
              <w:fldChar w:fldCharType="begin"/>
            </w:r>
            <w:r>
              <w:rPr>
                <w:noProof/>
              </w:rPr>
              <w:instrText xml:space="preserve"> PAGEREF _Toc224839646 \h </w:instrText>
            </w:r>
            <w:r>
              <w:rPr>
                <w:noProof/>
              </w:rPr>
            </w:r>
            <w:r>
              <w:rPr>
                <w:noProof/>
              </w:rPr>
              <w:fldChar w:fldCharType="separate"/>
            </w:r>
            <w:r>
              <w:rPr>
                <w:noProof/>
              </w:rPr>
              <w:t>9</w:t>
            </w:r>
            <w:r>
              <w:rPr>
                <w:noProof/>
              </w:rPr>
              <w:fldChar w:fldCharType="end"/>
            </w:r>
          </w:hyperlink>
        </w:p>
        <w:p w14:paraId="4D3F9FD1" w14:textId="77777777" w:rsidR="00173D4A" w:rsidRDefault="00173D4A">
          <w:pPr>
            <w:pStyle w:val="TDC2"/>
            <w:tabs>
              <w:tab w:val="right" w:leader="dot" w:pos="9016"/>
            </w:tabs>
            <w:rPr>
              <w:noProof/>
            </w:rPr>
          </w:pPr>
          <w:hyperlink w:anchor="_Toc224839647" w:history="1">
            <w:r w:rsidRPr="00410996">
              <w:rPr>
                <w:rStyle w:val="Hipervnculo"/>
                <w:noProof/>
              </w:rPr>
              <w:t>6.1 Acceso estable a instalaciones deportivas municipales</w:t>
            </w:r>
            <w:r>
              <w:rPr>
                <w:noProof/>
              </w:rPr>
              <w:tab/>
            </w:r>
            <w:r>
              <w:rPr>
                <w:noProof/>
              </w:rPr>
              <w:fldChar w:fldCharType="begin"/>
            </w:r>
            <w:r>
              <w:rPr>
                <w:noProof/>
              </w:rPr>
              <w:instrText xml:space="preserve"> PAGEREF _Toc224839647 \h </w:instrText>
            </w:r>
            <w:r>
              <w:rPr>
                <w:noProof/>
              </w:rPr>
            </w:r>
            <w:r>
              <w:rPr>
                <w:noProof/>
              </w:rPr>
              <w:fldChar w:fldCharType="separate"/>
            </w:r>
            <w:r>
              <w:rPr>
                <w:noProof/>
              </w:rPr>
              <w:t>9</w:t>
            </w:r>
            <w:r>
              <w:rPr>
                <w:noProof/>
              </w:rPr>
              <w:fldChar w:fldCharType="end"/>
            </w:r>
          </w:hyperlink>
        </w:p>
        <w:p w14:paraId="1CE2E57A" w14:textId="77777777" w:rsidR="00173D4A" w:rsidRDefault="00173D4A">
          <w:pPr>
            <w:pStyle w:val="TDC2"/>
            <w:tabs>
              <w:tab w:val="right" w:leader="dot" w:pos="9016"/>
            </w:tabs>
            <w:rPr>
              <w:noProof/>
            </w:rPr>
          </w:pPr>
          <w:hyperlink w:anchor="_Toc224839648" w:history="1">
            <w:r w:rsidRPr="00410996">
              <w:rPr>
                <w:rStyle w:val="Hipervnculo"/>
                <w:noProof/>
              </w:rPr>
              <w:t>6.2 Reconocimiento como proyecto estratégico de deporte femenino de base</w:t>
            </w:r>
            <w:r>
              <w:rPr>
                <w:noProof/>
              </w:rPr>
              <w:tab/>
            </w:r>
            <w:r>
              <w:rPr>
                <w:noProof/>
              </w:rPr>
              <w:fldChar w:fldCharType="begin"/>
            </w:r>
            <w:r>
              <w:rPr>
                <w:noProof/>
              </w:rPr>
              <w:instrText xml:space="preserve"> PAGEREF _Toc224839648 \h </w:instrText>
            </w:r>
            <w:r>
              <w:rPr>
                <w:noProof/>
              </w:rPr>
            </w:r>
            <w:r>
              <w:rPr>
                <w:noProof/>
              </w:rPr>
              <w:fldChar w:fldCharType="separate"/>
            </w:r>
            <w:r>
              <w:rPr>
                <w:noProof/>
              </w:rPr>
              <w:t>9</w:t>
            </w:r>
            <w:r>
              <w:rPr>
                <w:noProof/>
              </w:rPr>
              <w:fldChar w:fldCharType="end"/>
            </w:r>
          </w:hyperlink>
        </w:p>
        <w:p w14:paraId="478A36E9" w14:textId="77777777" w:rsidR="00173D4A" w:rsidRDefault="00173D4A">
          <w:pPr>
            <w:pStyle w:val="TDC2"/>
            <w:tabs>
              <w:tab w:val="right" w:leader="dot" w:pos="9016"/>
            </w:tabs>
            <w:rPr>
              <w:noProof/>
            </w:rPr>
          </w:pPr>
          <w:hyperlink w:anchor="_Toc224839649" w:history="1">
            <w:r w:rsidRPr="00410996">
              <w:rPr>
                <w:rStyle w:val="Hipervnculo"/>
                <w:noProof/>
              </w:rPr>
              <w:t>6.3 Apoyo logístico para la competición estatal</w:t>
            </w:r>
            <w:r>
              <w:rPr>
                <w:noProof/>
              </w:rPr>
              <w:tab/>
            </w:r>
            <w:r>
              <w:rPr>
                <w:noProof/>
              </w:rPr>
              <w:fldChar w:fldCharType="begin"/>
            </w:r>
            <w:r>
              <w:rPr>
                <w:noProof/>
              </w:rPr>
              <w:instrText xml:space="preserve"> PAGEREF _Toc224839649 \h </w:instrText>
            </w:r>
            <w:r>
              <w:rPr>
                <w:noProof/>
              </w:rPr>
            </w:r>
            <w:r>
              <w:rPr>
                <w:noProof/>
              </w:rPr>
              <w:fldChar w:fldCharType="separate"/>
            </w:r>
            <w:r>
              <w:rPr>
                <w:noProof/>
              </w:rPr>
              <w:t>9</w:t>
            </w:r>
            <w:r>
              <w:rPr>
                <w:noProof/>
              </w:rPr>
              <w:fldChar w:fldCharType="end"/>
            </w:r>
          </w:hyperlink>
        </w:p>
        <w:p w14:paraId="1C696E53" w14:textId="77777777" w:rsidR="00173D4A" w:rsidRDefault="00173D4A">
          <w:pPr>
            <w:pStyle w:val="TDC2"/>
            <w:tabs>
              <w:tab w:val="right" w:leader="dot" w:pos="9016"/>
            </w:tabs>
            <w:rPr>
              <w:noProof/>
            </w:rPr>
          </w:pPr>
          <w:hyperlink w:anchor="_Toc224839650" w:history="1">
            <w:r w:rsidRPr="00410996">
              <w:rPr>
                <w:rStyle w:val="Hipervnculo"/>
                <w:noProof/>
              </w:rPr>
              <w:t>6.4 Programa de retención de talento femenino</w:t>
            </w:r>
            <w:r>
              <w:rPr>
                <w:noProof/>
              </w:rPr>
              <w:tab/>
            </w:r>
            <w:r>
              <w:rPr>
                <w:noProof/>
              </w:rPr>
              <w:fldChar w:fldCharType="begin"/>
            </w:r>
            <w:r>
              <w:rPr>
                <w:noProof/>
              </w:rPr>
              <w:instrText xml:space="preserve"> PAGEREF _Toc224839650 \h </w:instrText>
            </w:r>
            <w:r>
              <w:rPr>
                <w:noProof/>
              </w:rPr>
            </w:r>
            <w:r>
              <w:rPr>
                <w:noProof/>
              </w:rPr>
              <w:fldChar w:fldCharType="separate"/>
            </w:r>
            <w:r>
              <w:rPr>
                <w:noProof/>
              </w:rPr>
              <w:t>9</w:t>
            </w:r>
            <w:r>
              <w:rPr>
                <w:noProof/>
              </w:rPr>
              <w:fldChar w:fldCharType="end"/>
            </w:r>
          </w:hyperlink>
        </w:p>
        <w:p w14:paraId="13BA2C4A" w14:textId="77777777" w:rsidR="00173D4A" w:rsidRDefault="00173D4A">
          <w:pPr>
            <w:pStyle w:val="TDC1"/>
            <w:tabs>
              <w:tab w:val="right" w:leader="dot" w:pos="9016"/>
            </w:tabs>
            <w:rPr>
              <w:noProof/>
            </w:rPr>
          </w:pPr>
          <w:hyperlink w:anchor="_Toc224839651" w:history="1">
            <w:r w:rsidRPr="00410996">
              <w:rPr>
                <w:rStyle w:val="Hipervnculo"/>
                <w:noProof/>
              </w:rPr>
              <w:t>7. CONCLUSIÓN</w:t>
            </w:r>
            <w:r>
              <w:rPr>
                <w:noProof/>
              </w:rPr>
              <w:tab/>
            </w:r>
            <w:r>
              <w:rPr>
                <w:noProof/>
              </w:rPr>
              <w:fldChar w:fldCharType="begin"/>
            </w:r>
            <w:r>
              <w:rPr>
                <w:noProof/>
              </w:rPr>
              <w:instrText xml:space="preserve"> PAGEREF _Toc224839651 \h </w:instrText>
            </w:r>
            <w:r>
              <w:rPr>
                <w:noProof/>
              </w:rPr>
            </w:r>
            <w:r>
              <w:rPr>
                <w:noProof/>
              </w:rPr>
              <w:fldChar w:fldCharType="separate"/>
            </w:r>
            <w:r>
              <w:rPr>
                <w:noProof/>
              </w:rPr>
              <w:t>10</w:t>
            </w:r>
            <w:r>
              <w:rPr>
                <w:noProof/>
              </w:rPr>
              <w:fldChar w:fldCharType="end"/>
            </w:r>
          </w:hyperlink>
        </w:p>
        <w:p w14:paraId="6841C6F5" w14:textId="77777777" w:rsidR="00FF061D" w:rsidRDefault="00000000">
          <w:r>
            <w:fldChar w:fldCharType="end"/>
          </w:r>
        </w:p>
      </w:sdtContent>
    </w:sdt>
    <w:p w14:paraId="3E7A880F" w14:textId="77777777" w:rsidR="00FF061D" w:rsidRDefault="00000000">
      <w:r>
        <w:br w:type="page"/>
      </w:r>
    </w:p>
    <w:p w14:paraId="7DC2863B" w14:textId="77777777" w:rsidR="00FF061D" w:rsidRDefault="00000000">
      <w:pPr>
        <w:pStyle w:val="Ttulo1"/>
        <w:pBdr>
          <w:bottom w:val="single" w:sz="2" w:space="6" w:color="1B3A5C"/>
        </w:pBdr>
      </w:pPr>
      <w:bookmarkStart w:id="0" w:name="_Toc224839629"/>
      <w:r>
        <w:lastRenderedPageBreak/>
        <w:t>RESUMEN EJECUTIVO</w:t>
      </w:r>
      <w:bookmarkEnd w:id="0"/>
    </w:p>
    <w:p w14:paraId="2AA47D05" w14:textId="77777777" w:rsidR="00FF061D" w:rsidRDefault="00000000">
      <w:pPr>
        <w:spacing w:after="160" w:line="276" w:lineRule="auto"/>
        <w:jc w:val="both"/>
      </w:pPr>
      <w:r>
        <w:rPr>
          <w:color w:val="333333"/>
        </w:rPr>
        <w:t>Barcelona, con 1,6 millones de habitantes, presenta una anomalía estructural en el panorama del baloncesto femenino español: la segunda ciudad de España tiene menos representación real en las ligas estatales femeninas que municipios como Mataró (130.000 hab.), Viladecans (67.000 hab.), Cornellà (90.000 hab.) o Manresa (78.000 hab.).</w:t>
      </w:r>
    </w:p>
    <w:p w14:paraId="035CFEC3" w14:textId="77777777" w:rsidR="00FF061D" w:rsidRDefault="00000000">
      <w:pPr>
        <w:spacing w:after="160" w:line="276" w:lineRule="auto"/>
        <w:jc w:val="both"/>
      </w:pPr>
      <w:r>
        <w:rPr>
          <w:color w:val="333333"/>
        </w:rPr>
        <w:t xml:space="preserve">El presente informe analiza las causas de este déficit, documenta los movimientos que se producirán en la próxima temporada —incluyendo la desaparición del proyecto Barça CBS y las dificultades del único club comunitario barcelonés en liga estatal, el Lima-Horta— y plantea la oportunidad que se abre para que el </w:t>
      </w:r>
      <w:proofErr w:type="spellStart"/>
      <w:r>
        <w:rPr>
          <w:color w:val="333333"/>
        </w:rPr>
        <w:t>Ajuntament</w:t>
      </w:r>
      <w:proofErr w:type="spellEnd"/>
      <w:r>
        <w:rPr>
          <w:color w:val="333333"/>
        </w:rPr>
        <w:t xml:space="preserve"> de Barcelona impulse un modelo de desarrollo del baloncesto femenino sostenible, arraigado en los barrios y con proyección competitiva a escala nacional.</w:t>
      </w:r>
    </w:p>
    <w:p w14:paraId="21A63F6E" w14:textId="77777777" w:rsidR="00FF061D" w:rsidRDefault="00000000">
      <w:pPr>
        <w:spacing w:after="160" w:line="276" w:lineRule="auto"/>
        <w:jc w:val="both"/>
      </w:pPr>
      <w:r>
        <w:rPr>
          <w:color w:val="333333"/>
        </w:rPr>
        <w:t xml:space="preserve">El CB </w:t>
      </w:r>
      <w:proofErr w:type="spellStart"/>
      <w:r>
        <w:rPr>
          <w:color w:val="333333"/>
        </w:rPr>
        <w:t>Grup</w:t>
      </w:r>
      <w:proofErr w:type="spellEnd"/>
      <w:r>
        <w:rPr>
          <w:color w:val="333333"/>
        </w:rPr>
        <w:t xml:space="preserve"> Barna, club fundado en 1965 en el barrio del Clot (distrito de Sant Martí), se presenta como el proyecto mejor posicionado para articular esta ambición. Actualmente compite en la parte alta de la Super Copa catalana femenina con dos equipos sénior (Super Copa y Copa Catalunya), posee una cantera consolidada y opera bajo un modelo económico autosostenible que contrasta con los modelos de dependencia que han fracasado en los últimos años.</w:t>
      </w:r>
    </w:p>
    <w:p w14:paraId="01DC2878" w14:textId="77777777" w:rsidR="00FF061D" w:rsidRDefault="00000000">
      <w:r>
        <w:br w:type="page"/>
      </w:r>
    </w:p>
    <w:p w14:paraId="76093E56" w14:textId="77777777" w:rsidR="00FF061D" w:rsidRDefault="00000000">
      <w:pPr>
        <w:pStyle w:val="Ttulo1"/>
        <w:pBdr>
          <w:bottom w:val="single" w:sz="2" w:space="6" w:color="1B3A5C"/>
        </w:pBdr>
      </w:pPr>
      <w:bookmarkStart w:id="1" w:name="_Toc224839630"/>
      <w:r>
        <w:lastRenderedPageBreak/>
        <w:t>1. CONTEXTO: EL MAPA DEL BALONCESTO FEMENINO EN CATALUÑA</w:t>
      </w:r>
      <w:bookmarkEnd w:id="1"/>
    </w:p>
    <w:p w14:paraId="5BA952AB" w14:textId="77777777" w:rsidR="00FF061D" w:rsidRDefault="00000000">
      <w:pPr>
        <w:pStyle w:val="Ttulo2"/>
      </w:pPr>
      <w:bookmarkStart w:id="2" w:name="_Toc224839631"/>
      <w:r>
        <w:t>1.1 Estructura competitiva estatal</w:t>
      </w:r>
      <w:bookmarkEnd w:id="2"/>
    </w:p>
    <w:p w14:paraId="09D54A68" w14:textId="77777777" w:rsidR="00FF061D" w:rsidRDefault="00000000">
      <w:pPr>
        <w:spacing w:after="160" w:line="276" w:lineRule="auto"/>
        <w:jc w:val="both"/>
      </w:pPr>
      <w:r>
        <w:rPr>
          <w:color w:val="333333"/>
        </w:rPr>
        <w:t xml:space="preserve">El baloncesto femenino español se organiza en tres ligas estatales gestionadas por la Federación Española de Baloncesto (FEB), por encima de las competiciones autonómicas organizadas por la </w:t>
      </w:r>
      <w:proofErr w:type="spellStart"/>
      <w:r>
        <w:rPr>
          <w:color w:val="333333"/>
        </w:rPr>
        <w:t>Federació</w:t>
      </w:r>
      <w:proofErr w:type="spellEnd"/>
      <w:r>
        <w:rPr>
          <w:color w:val="333333"/>
        </w:rPr>
        <w:t xml:space="preserve"> Catalana de Basquetbol (FCBQ). De mayor a menor nivel: Liga Femenina Endesa (máxima categoría, 14 equipos), Liga Femenina </w:t>
      </w:r>
      <w:proofErr w:type="spellStart"/>
      <w:r>
        <w:rPr>
          <w:color w:val="333333"/>
        </w:rPr>
        <w:t>Challenge</w:t>
      </w:r>
      <w:proofErr w:type="spellEnd"/>
      <w:r>
        <w:rPr>
          <w:color w:val="333333"/>
        </w:rPr>
        <w:t xml:space="preserve"> (segunda categoría, 16 equipos) y Liga Femenina 2 (tercera categoría, 28 equipos en dos grupos de 14).</w:t>
      </w:r>
    </w:p>
    <w:p w14:paraId="56943AEA" w14:textId="77777777" w:rsidR="00FF061D" w:rsidRDefault="00000000">
      <w:pPr>
        <w:spacing w:after="160" w:line="276" w:lineRule="auto"/>
        <w:jc w:val="both"/>
      </w:pPr>
      <w:r>
        <w:rPr>
          <w:color w:val="333333"/>
        </w:rPr>
        <w:t>Cataluña es la comunidad autónoma con mayor representación en el conjunto de las tres ligas FEB, con un total de 15 equipos. Sin embargo, la distribución geográfica dentro de Cataluña es profundamente desigual.</w:t>
      </w:r>
    </w:p>
    <w:p w14:paraId="0FA5199F" w14:textId="77777777" w:rsidR="00FF061D" w:rsidRDefault="00000000">
      <w:pPr>
        <w:pStyle w:val="Ttulo2"/>
      </w:pPr>
      <w:bookmarkStart w:id="3" w:name="_Toc224839632"/>
      <w:r>
        <w:t>1.2 Representación catalana por categorías</w:t>
      </w:r>
      <w:bookmarkEnd w:id="3"/>
    </w:p>
    <w:p w14:paraId="4BD4B0D8" w14:textId="77777777" w:rsidR="00FF061D" w:rsidRDefault="00000000">
      <w:pPr>
        <w:spacing w:before="200" w:after="100"/>
      </w:pPr>
      <w:r>
        <w:rPr>
          <w:b/>
          <w:bCs/>
          <w:color w:val="C41E3A"/>
          <w:sz w:val="22"/>
          <w:szCs w:val="22"/>
        </w:rPr>
        <w:t>Liga Femenina Endesa (máxima categoría)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F061D" w14:paraId="18A5188E" w14:textId="77777777">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39911E45" w14:textId="77777777" w:rsidR="00FF061D" w:rsidRDefault="00000000">
            <w:r>
              <w:rPr>
                <w:b/>
                <w:bCs/>
                <w:color w:val="FFFFFF"/>
                <w:sz w:val="18"/>
                <w:szCs w:val="18"/>
              </w:rPr>
              <w:t>Equipo</w:t>
            </w:r>
          </w:p>
        </w:tc>
        <w:tc>
          <w:tcPr>
            <w:tcW w:w="4513"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0F4301B4" w14:textId="77777777" w:rsidR="00FF061D" w:rsidRDefault="00000000">
            <w:r>
              <w:rPr>
                <w:b/>
                <w:bCs/>
                <w:color w:val="FFFFFF"/>
                <w:sz w:val="18"/>
                <w:szCs w:val="18"/>
              </w:rPr>
              <w:t>Ubicación</w:t>
            </w:r>
          </w:p>
        </w:tc>
      </w:tr>
      <w:tr w:rsidR="00FF061D" w14:paraId="518344AD" w14:textId="77777777">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10ABC1FA" w14:textId="77777777" w:rsidR="00FF061D" w:rsidRDefault="00000000">
            <w:proofErr w:type="spellStart"/>
            <w:r>
              <w:rPr>
                <w:color w:val="333333"/>
                <w:sz w:val="19"/>
                <w:szCs w:val="19"/>
              </w:rPr>
              <w:t>Spar</w:t>
            </w:r>
            <w:proofErr w:type="spellEnd"/>
            <w:r>
              <w:rPr>
                <w:color w:val="333333"/>
                <w:sz w:val="19"/>
                <w:szCs w:val="19"/>
              </w:rPr>
              <w:t xml:space="preserve"> Girona</w:t>
            </w:r>
          </w:p>
        </w:tc>
        <w:tc>
          <w:tcPr>
            <w:tcW w:w="45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283D44C0" w14:textId="77777777" w:rsidR="00FF061D" w:rsidRDefault="00000000">
            <w:r>
              <w:rPr>
                <w:color w:val="333333"/>
                <w:sz w:val="19"/>
                <w:szCs w:val="19"/>
              </w:rPr>
              <w:t>Girona</w:t>
            </w:r>
          </w:p>
        </w:tc>
      </w:tr>
      <w:tr w:rsidR="00FF061D" w14:paraId="702E7D32" w14:textId="77777777">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3EE9344" w14:textId="77777777" w:rsidR="00FF061D" w:rsidRDefault="00000000">
            <w:r>
              <w:rPr>
                <w:color w:val="333333"/>
                <w:sz w:val="19"/>
                <w:szCs w:val="19"/>
              </w:rPr>
              <w:t>Cadí La Seu</w:t>
            </w:r>
          </w:p>
        </w:tc>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2945930" w14:textId="77777777" w:rsidR="00FF061D" w:rsidRDefault="00000000">
            <w:r>
              <w:rPr>
                <w:color w:val="333333"/>
                <w:sz w:val="19"/>
                <w:szCs w:val="19"/>
              </w:rPr>
              <w:t>La Seu d’Urgell (Lleida)</w:t>
            </w:r>
          </w:p>
        </w:tc>
      </w:tr>
      <w:tr w:rsidR="00FF061D" w14:paraId="69E28341" w14:textId="77777777">
        <w:tblPrEx>
          <w:tblCellMar>
            <w:top w:w="0" w:type="dxa"/>
            <w:bottom w:w="0" w:type="dxa"/>
          </w:tblCellMar>
        </w:tblPrEx>
        <w:tc>
          <w:tcPr>
            <w:tcW w:w="45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4285E38C" w14:textId="77777777" w:rsidR="00FF061D" w:rsidRDefault="00000000">
            <w:r>
              <w:rPr>
                <w:color w:val="333333"/>
                <w:sz w:val="19"/>
                <w:szCs w:val="19"/>
              </w:rPr>
              <w:t>Club Joventut Badalona</w:t>
            </w:r>
          </w:p>
        </w:tc>
        <w:tc>
          <w:tcPr>
            <w:tcW w:w="45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2577396B" w14:textId="77777777" w:rsidR="00FF061D" w:rsidRDefault="00000000">
            <w:r>
              <w:rPr>
                <w:color w:val="333333"/>
                <w:sz w:val="19"/>
                <w:szCs w:val="19"/>
              </w:rPr>
              <w:t>Badalona</w:t>
            </w:r>
          </w:p>
        </w:tc>
      </w:tr>
    </w:tbl>
    <w:p w14:paraId="31D23619" w14:textId="77777777" w:rsidR="00FF061D" w:rsidRDefault="00000000">
      <w:pPr>
        <w:spacing w:after="160" w:line="276" w:lineRule="auto"/>
        <w:jc w:val="both"/>
      </w:pPr>
      <w:r>
        <w:rPr>
          <w:i/>
          <w:iCs/>
          <w:color w:val="333333"/>
        </w:rPr>
        <w:t>Ningún equipo de Barcelona ciudad. Los tres equipos catalanes en la máxima categoría representan a Girona, el Pirineo leridano y el área metropolitana norte.</w:t>
      </w:r>
    </w:p>
    <w:p w14:paraId="68721C9E" w14:textId="77777777" w:rsidR="00FF061D" w:rsidRDefault="00FF061D">
      <w:pPr>
        <w:spacing w:after="80"/>
      </w:pPr>
    </w:p>
    <w:p w14:paraId="7CC0DACC" w14:textId="77777777" w:rsidR="00FF061D" w:rsidRDefault="00000000">
      <w:pPr>
        <w:spacing w:before="200" w:after="100"/>
      </w:pPr>
      <w:r>
        <w:rPr>
          <w:b/>
          <w:bCs/>
          <w:color w:val="C41E3A"/>
          <w:sz w:val="22"/>
          <w:szCs w:val="22"/>
        </w:rPr>
        <w:t xml:space="preserve">Liga Femenina </w:t>
      </w:r>
      <w:proofErr w:type="spellStart"/>
      <w:r>
        <w:rPr>
          <w:b/>
          <w:bCs/>
          <w:color w:val="C41E3A"/>
          <w:sz w:val="22"/>
          <w:szCs w:val="22"/>
        </w:rPr>
        <w:t>Challenge</w:t>
      </w:r>
      <w:proofErr w:type="spellEnd"/>
      <w:r>
        <w:rPr>
          <w:b/>
          <w:bCs/>
          <w:color w:val="C41E3A"/>
          <w:sz w:val="22"/>
          <w:szCs w:val="22"/>
        </w:rPr>
        <w:t xml:space="preserve"> (segunda categoría – temporada 2025-26)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800"/>
        <w:gridCol w:w="2026"/>
        <w:gridCol w:w="2000"/>
      </w:tblGrid>
      <w:tr w:rsidR="00FF061D" w14:paraId="02C2AF15"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0D96B88D" w14:textId="77777777" w:rsidR="00FF061D" w:rsidRDefault="00000000">
            <w:r>
              <w:rPr>
                <w:b/>
                <w:bCs/>
                <w:color w:val="FFFFFF"/>
                <w:sz w:val="18"/>
                <w:szCs w:val="18"/>
              </w:rPr>
              <w:t>Equipo</w:t>
            </w:r>
          </w:p>
        </w:tc>
        <w:tc>
          <w:tcPr>
            <w:tcW w:w="1800"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6A32B709" w14:textId="77777777" w:rsidR="00FF061D" w:rsidRDefault="00000000">
            <w:pPr>
              <w:jc w:val="center"/>
            </w:pPr>
            <w:r>
              <w:rPr>
                <w:b/>
                <w:bCs/>
                <w:color w:val="FFFFFF"/>
                <w:sz w:val="18"/>
                <w:szCs w:val="18"/>
              </w:rPr>
              <w:t>Posición</w:t>
            </w:r>
          </w:p>
        </w:tc>
        <w:tc>
          <w:tcPr>
            <w:tcW w:w="2026"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36A4CEDA" w14:textId="77777777" w:rsidR="00FF061D" w:rsidRDefault="00000000">
            <w:pPr>
              <w:jc w:val="center"/>
            </w:pPr>
            <w:r>
              <w:rPr>
                <w:b/>
                <w:bCs/>
                <w:color w:val="FFFFFF"/>
                <w:sz w:val="18"/>
                <w:szCs w:val="18"/>
              </w:rPr>
              <w:t>Balance</w:t>
            </w:r>
          </w:p>
        </w:tc>
        <w:tc>
          <w:tcPr>
            <w:tcW w:w="2000"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6BA06153" w14:textId="77777777" w:rsidR="00FF061D" w:rsidRDefault="00000000">
            <w:pPr>
              <w:jc w:val="center"/>
            </w:pPr>
            <w:r>
              <w:rPr>
                <w:b/>
                <w:bCs/>
                <w:color w:val="FFFFFF"/>
                <w:sz w:val="18"/>
                <w:szCs w:val="18"/>
              </w:rPr>
              <w:t>Situación</w:t>
            </w:r>
          </w:p>
        </w:tc>
      </w:tr>
      <w:tr w:rsidR="00FF061D" w14:paraId="0A7B5504"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01C36AC3" w14:textId="77777777" w:rsidR="00FF061D" w:rsidRDefault="00000000">
            <w:r>
              <w:rPr>
                <w:b/>
                <w:bCs/>
                <w:color w:val="333333"/>
                <w:sz w:val="19"/>
                <w:szCs w:val="19"/>
              </w:rPr>
              <w:t>MCR Lima-Horta Barcelona</w:t>
            </w:r>
          </w:p>
        </w:tc>
        <w:tc>
          <w:tcPr>
            <w:tcW w:w="18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40E35BD0" w14:textId="77777777" w:rsidR="00FF061D" w:rsidRDefault="00000000">
            <w:pPr>
              <w:jc w:val="center"/>
            </w:pPr>
            <w:r>
              <w:rPr>
                <w:color w:val="333333"/>
                <w:sz w:val="19"/>
                <w:szCs w:val="19"/>
              </w:rPr>
              <w:t>10ª de 16</w:t>
            </w:r>
          </w:p>
        </w:tc>
        <w:tc>
          <w:tcPr>
            <w:tcW w:w="2026"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6D460209" w14:textId="77777777" w:rsidR="00FF061D" w:rsidRDefault="00000000">
            <w:pPr>
              <w:jc w:val="center"/>
            </w:pPr>
            <w:r>
              <w:rPr>
                <w:color w:val="333333"/>
                <w:sz w:val="19"/>
                <w:szCs w:val="19"/>
              </w:rPr>
              <w:t>8-11</w:t>
            </w:r>
          </w:p>
        </w:tc>
        <w:tc>
          <w:tcPr>
            <w:tcW w:w="20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31C916C5" w14:textId="77777777" w:rsidR="00FF061D" w:rsidRDefault="00000000">
            <w:pPr>
              <w:jc w:val="center"/>
            </w:pPr>
            <w:r>
              <w:rPr>
                <w:color w:val="D4760A"/>
                <w:sz w:val="19"/>
                <w:szCs w:val="19"/>
              </w:rPr>
              <w:t>Permanencia incierta</w:t>
            </w:r>
          </w:p>
        </w:tc>
      </w:tr>
      <w:tr w:rsidR="00FF061D" w14:paraId="621C88C3" w14:textId="77777777">
        <w:tblPrEx>
          <w:tblCellMar>
            <w:top w:w="0" w:type="dxa"/>
            <w:bottom w:w="0" w:type="dxa"/>
          </w:tblCellMar>
        </w:tblPrEx>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8793EF0" w14:textId="77777777" w:rsidR="00FF061D" w:rsidRDefault="00000000">
            <w:r>
              <w:rPr>
                <w:b/>
                <w:bCs/>
                <w:color w:val="333333"/>
                <w:sz w:val="19"/>
                <w:szCs w:val="19"/>
              </w:rPr>
              <w:t xml:space="preserve">CB </w:t>
            </w:r>
            <w:proofErr w:type="spellStart"/>
            <w:r>
              <w:rPr>
                <w:b/>
                <w:bCs/>
                <w:color w:val="333333"/>
                <w:sz w:val="19"/>
                <w:szCs w:val="19"/>
              </w:rPr>
              <w:t>Santfeliuenc</w:t>
            </w:r>
            <w:proofErr w:type="spellEnd"/>
            <w:r>
              <w:rPr>
                <w:b/>
                <w:bCs/>
                <w:color w:val="333333"/>
                <w:sz w:val="19"/>
                <w:szCs w:val="19"/>
              </w:rPr>
              <w:t xml:space="preserve"> (Barça CBS)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E7057C7" w14:textId="77777777" w:rsidR="00FF061D" w:rsidRDefault="00000000">
            <w:pPr>
              <w:jc w:val="center"/>
            </w:pPr>
            <w:r>
              <w:rPr>
                <w:color w:val="333333"/>
                <w:sz w:val="19"/>
                <w:szCs w:val="19"/>
              </w:rPr>
              <w:t>16ª de 16</w:t>
            </w:r>
          </w:p>
        </w:tc>
        <w:tc>
          <w:tcPr>
            <w:tcW w:w="202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56E437EC" w14:textId="77777777" w:rsidR="00FF061D" w:rsidRDefault="00000000">
            <w:pPr>
              <w:jc w:val="center"/>
            </w:pPr>
            <w:r>
              <w:rPr>
                <w:color w:val="333333"/>
                <w:sz w:val="19"/>
                <w:szCs w:val="19"/>
              </w:rPr>
              <w:t>1-18</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C422F48" w14:textId="77777777" w:rsidR="00FF061D" w:rsidRDefault="00000000">
            <w:pPr>
              <w:jc w:val="center"/>
            </w:pPr>
            <w:r>
              <w:rPr>
                <w:color w:val="C41E3A"/>
                <w:sz w:val="19"/>
                <w:szCs w:val="19"/>
              </w:rPr>
              <w:t>Descenso seguro</w:t>
            </w:r>
          </w:p>
        </w:tc>
      </w:tr>
    </w:tbl>
    <w:p w14:paraId="7BB79619" w14:textId="77777777" w:rsidR="00FF061D" w:rsidRDefault="00000000">
      <w:pPr>
        <w:spacing w:after="160" w:line="276" w:lineRule="auto"/>
        <w:jc w:val="both"/>
      </w:pPr>
      <w:r>
        <w:rPr>
          <w:i/>
          <w:iCs/>
          <w:color w:val="333333"/>
        </w:rPr>
        <w:t xml:space="preserve">El Lima-Horta, único club genuinamente comunitario de Barcelona ciudad en todo el sistema FEB femenino, lucha por la permanencia con un diferencial de -134 puntos. El </w:t>
      </w:r>
      <w:proofErr w:type="spellStart"/>
      <w:r>
        <w:rPr>
          <w:i/>
          <w:iCs/>
          <w:color w:val="333333"/>
        </w:rPr>
        <w:t>Santfeliuenc</w:t>
      </w:r>
      <w:proofErr w:type="spellEnd"/>
      <w:r>
        <w:rPr>
          <w:i/>
          <w:iCs/>
          <w:color w:val="333333"/>
        </w:rPr>
        <w:t>, tras la ruptura del convenio con el FC Barcelona en febrero de 2025, desciende con 1 victoria en 19 partidos y una racha de 16 derrotas consecutivas. Su modelo económico, dependiente del FC Barcelona, ha colapsado.</w:t>
      </w:r>
    </w:p>
    <w:p w14:paraId="4D06478D" w14:textId="77777777" w:rsidR="00FF061D" w:rsidRDefault="00FF061D">
      <w:pPr>
        <w:spacing w:after="80"/>
      </w:pPr>
    </w:p>
    <w:p w14:paraId="04F3B97A" w14:textId="77777777" w:rsidR="00FF061D" w:rsidRDefault="00000000">
      <w:pPr>
        <w:spacing w:before="200" w:after="100"/>
      </w:pPr>
      <w:r>
        <w:rPr>
          <w:b/>
          <w:bCs/>
          <w:color w:val="C41E3A"/>
          <w:sz w:val="22"/>
          <w:szCs w:val="22"/>
        </w:rPr>
        <w:t>Liga Femenina 2 (tercera categoría – 10 equipos catalanes)</w:t>
      </w:r>
    </w:p>
    <w:p w14:paraId="151F3B37" w14:textId="77777777" w:rsidR="00FF061D" w:rsidRDefault="00000000">
      <w:pPr>
        <w:spacing w:after="160" w:line="276" w:lineRule="auto"/>
        <w:jc w:val="both"/>
      </w:pPr>
      <w:r>
        <w:rPr>
          <w:color w:val="333333"/>
        </w:rPr>
        <w:t xml:space="preserve">Cataluña aporta 10 de los 28 equipos de la LF2. De ellos, solo uno tiene sede nominalmente en Barcelona: el </w:t>
      </w:r>
      <w:proofErr w:type="spellStart"/>
      <w:r>
        <w:rPr>
          <w:color w:val="333333"/>
        </w:rPr>
        <w:t>Segle</w:t>
      </w:r>
      <w:proofErr w:type="spellEnd"/>
      <w:r>
        <w:rPr>
          <w:color w:val="333333"/>
        </w:rPr>
        <w:t xml:space="preserve"> XXI, un centro de tecnificación de la FEB y la FCB ubicado en la Residencia Blume de Esplugues, sin base social comunitaria. Los demás se reparten entre el área metropolitana (Viladecans, Cornellà, Sant Adrià, Mataró) y el resto de Cataluña (Girona, Manresa, Lleida, Tarragona).</w:t>
      </w:r>
    </w:p>
    <w:p w14:paraId="6A2F61CD" w14:textId="77777777" w:rsidR="00FF061D" w:rsidRDefault="00000000">
      <w:r>
        <w:br w:type="page"/>
      </w:r>
    </w:p>
    <w:p w14:paraId="36C7F7D9" w14:textId="77777777" w:rsidR="00FF061D" w:rsidRDefault="00000000">
      <w:pPr>
        <w:pStyle w:val="Ttulo1"/>
        <w:pBdr>
          <w:bottom w:val="single" w:sz="2" w:space="6" w:color="1B3A5C"/>
        </w:pBdr>
      </w:pPr>
      <w:bookmarkStart w:id="4" w:name="_Toc224839633"/>
      <w:r>
        <w:lastRenderedPageBreak/>
        <w:t>2. LA ANOMALÍA DE BARCELONA: UNA CIUDAD SIN BALONCESTO FEMENINO ESTATAL</w:t>
      </w:r>
      <w:bookmarkEnd w:id="4"/>
    </w:p>
    <w:p w14:paraId="307C1BC5" w14:textId="77777777" w:rsidR="00FF061D" w:rsidRDefault="00000000">
      <w:pPr>
        <w:pStyle w:val="Ttulo2"/>
      </w:pPr>
      <w:bookmarkStart w:id="5" w:name="_Toc224839634"/>
      <w:r>
        <w:t>2.1 Los datos</w:t>
      </w:r>
      <w:bookmarkEnd w:id="5"/>
    </w:p>
    <w:p w14:paraId="24422989" w14:textId="77777777" w:rsidR="00FF061D" w:rsidRDefault="00000000">
      <w:pPr>
        <w:spacing w:after="160" w:line="276" w:lineRule="auto"/>
        <w:jc w:val="both"/>
      </w:pPr>
      <w:r>
        <w:rPr>
          <w:color w:val="333333"/>
        </w:rPr>
        <w:t xml:space="preserve">Barcelona ciudad (1.660.000 habitantes) cuenta con un solo club genuinamente comunitario en ligas FEB femeninas: el MCR Lima-Horta, que compite en la LF </w:t>
      </w:r>
      <w:proofErr w:type="spellStart"/>
      <w:r>
        <w:rPr>
          <w:color w:val="333333"/>
        </w:rPr>
        <w:t>Challenge</w:t>
      </w:r>
      <w:proofErr w:type="spellEnd"/>
      <w:r>
        <w:rPr>
          <w:color w:val="333333"/>
        </w:rPr>
        <w:t>. A modo de comparación, Mataró (130.000 hab.) tiene dos equipos en LF2, Viladecans (67.000 hab.) tiene uno, Cornellà (90.000 hab.) tiene uno y Manresa (78.000 hab.) tiene uno. La ratio de representación por habitante de Barcelona ciudad es, por tanto, entre 10 y 25 veces inferior a la de municipios del cinturón metropolitano.</w:t>
      </w:r>
    </w:p>
    <w:p w14:paraId="194045DD" w14:textId="77777777" w:rsidR="00FF061D" w:rsidRDefault="00000000">
      <w:pPr>
        <w:pStyle w:val="Ttulo2"/>
      </w:pPr>
      <w:bookmarkStart w:id="6" w:name="_Toc224839635"/>
      <w:r>
        <w:t>2.2 Causas estructurales del déficit</w:t>
      </w:r>
      <w:bookmarkEnd w:id="6"/>
    </w:p>
    <w:p w14:paraId="51C4E1A3" w14:textId="77777777" w:rsidR="00FF061D" w:rsidRDefault="00000000">
      <w:pPr>
        <w:spacing w:before="200" w:after="100"/>
      </w:pPr>
      <w:r>
        <w:rPr>
          <w:b/>
          <w:bCs/>
          <w:color w:val="C41E3A"/>
          <w:sz w:val="22"/>
          <w:szCs w:val="22"/>
        </w:rPr>
        <w:t>El efecto sombra del FC Barcelona</w:t>
      </w:r>
    </w:p>
    <w:p w14:paraId="09110675" w14:textId="77777777" w:rsidR="00FF061D" w:rsidRDefault="00000000">
      <w:pPr>
        <w:spacing w:after="160" w:line="276" w:lineRule="auto"/>
        <w:jc w:val="both"/>
      </w:pPr>
      <w:r>
        <w:rPr>
          <w:color w:val="333333"/>
        </w:rPr>
        <w:t xml:space="preserve">El Barça acapara atención mediática, instalaciones y captación de talento, pero sin compromiso sostenible con el baloncesto femenino. Su convenio con el CB </w:t>
      </w:r>
      <w:proofErr w:type="spellStart"/>
      <w:r>
        <w:rPr>
          <w:color w:val="333333"/>
        </w:rPr>
        <w:t>Santfeliuenc</w:t>
      </w:r>
      <w:proofErr w:type="spellEnd"/>
      <w:r>
        <w:rPr>
          <w:color w:val="333333"/>
        </w:rPr>
        <w:t xml:space="preserve"> (2011-2025) le permitió tener presencia en ligas femeninas, pero cuando los números dejaron de cuadrar, se retiró dejando al </w:t>
      </w:r>
      <w:proofErr w:type="spellStart"/>
      <w:r>
        <w:rPr>
          <w:color w:val="333333"/>
        </w:rPr>
        <w:t>Santfeliuenc</w:t>
      </w:r>
      <w:proofErr w:type="spellEnd"/>
      <w:r>
        <w:rPr>
          <w:color w:val="333333"/>
        </w:rPr>
        <w:t xml:space="preserve"> en situación de colapso. Es la segunda vez que ocurre: anteriormente, su convenio con la </w:t>
      </w:r>
      <w:proofErr w:type="spellStart"/>
      <w:r>
        <w:rPr>
          <w:color w:val="333333"/>
        </w:rPr>
        <w:t>Universitat</w:t>
      </w:r>
      <w:proofErr w:type="spellEnd"/>
      <w:r>
        <w:rPr>
          <w:color w:val="333333"/>
        </w:rPr>
        <w:t xml:space="preserve"> de Barcelona (</w:t>
      </w:r>
      <w:proofErr w:type="spellStart"/>
      <w:r>
        <w:rPr>
          <w:color w:val="333333"/>
        </w:rPr>
        <w:t>Universitari</w:t>
      </w:r>
      <w:proofErr w:type="spellEnd"/>
      <w:r>
        <w:rPr>
          <w:color w:val="333333"/>
        </w:rPr>
        <w:t xml:space="preserve"> </w:t>
      </w:r>
      <w:proofErr w:type="spellStart"/>
      <w:r>
        <w:rPr>
          <w:color w:val="333333"/>
        </w:rPr>
        <w:t>Bàsquet</w:t>
      </w:r>
      <w:proofErr w:type="spellEnd"/>
      <w:r>
        <w:rPr>
          <w:color w:val="333333"/>
        </w:rPr>
        <w:t xml:space="preserve"> Barça) acabó de idéntica forma en 2007.</w:t>
      </w:r>
    </w:p>
    <w:p w14:paraId="6D315A9E" w14:textId="77777777" w:rsidR="00FF061D" w:rsidRDefault="00000000">
      <w:pPr>
        <w:spacing w:before="200" w:after="100"/>
      </w:pPr>
      <w:r>
        <w:rPr>
          <w:b/>
          <w:bCs/>
          <w:color w:val="C41E3A"/>
          <w:sz w:val="22"/>
          <w:szCs w:val="22"/>
        </w:rPr>
        <w:t>Coste del suelo e instalaciones saturadas</w:t>
      </w:r>
    </w:p>
    <w:p w14:paraId="196E4E5F" w14:textId="77777777" w:rsidR="00FF061D" w:rsidRDefault="00000000">
      <w:pPr>
        <w:spacing w:after="160" w:line="276" w:lineRule="auto"/>
        <w:jc w:val="both"/>
      </w:pPr>
      <w:r>
        <w:rPr>
          <w:color w:val="333333"/>
        </w:rPr>
        <w:t>Los pabellones municipales de Barcelona están saturados, con múltiples disciplinas compitiendo por franjas horarias limitadas. El caso del Lima-Horta es paradigmático: con 35 equipos, opera en seis pistas diferentes (un pabellón municipal, tres privados y dos patios de escuela), todas alquiladas por horas, con un coste anual de 110.000 euros solo en alquileres. La subvención municipal de 65.000 euros no cubre ni la mitad de esta partida.</w:t>
      </w:r>
    </w:p>
    <w:p w14:paraId="37C14670" w14:textId="77777777" w:rsidR="00FF061D" w:rsidRDefault="00000000">
      <w:pPr>
        <w:spacing w:before="200" w:after="100"/>
      </w:pPr>
      <w:r>
        <w:rPr>
          <w:b/>
          <w:bCs/>
          <w:color w:val="C41E3A"/>
          <w:sz w:val="22"/>
          <w:szCs w:val="22"/>
        </w:rPr>
        <w:t>Fuga de talento hacia el área metropolitana</w:t>
      </w:r>
    </w:p>
    <w:p w14:paraId="0CB80BCF" w14:textId="77777777" w:rsidR="00FF061D" w:rsidRDefault="00000000">
      <w:pPr>
        <w:spacing w:after="160" w:line="276" w:lineRule="auto"/>
        <w:jc w:val="both"/>
      </w:pPr>
      <w:r>
        <w:rPr>
          <w:color w:val="333333"/>
        </w:rPr>
        <w:t xml:space="preserve">Las jugadoras jóvenes de Barcelona ciudad con nivel competitivo acaban migrando a clubs del cinturón metropolitano que compiten en LF2 (como el </w:t>
      </w:r>
      <w:proofErr w:type="spellStart"/>
      <w:r>
        <w:rPr>
          <w:color w:val="333333"/>
        </w:rPr>
        <w:t>Basket</w:t>
      </w:r>
      <w:proofErr w:type="spellEnd"/>
      <w:r>
        <w:rPr>
          <w:color w:val="333333"/>
        </w:rPr>
        <w:t xml:space="preserve"> Almeda en Cornellà o el UE Mataró) porque estos clubs les ofrecen compensaciones económicas que les permiten sostener el ritmo de una liga estatal: viajes cada fin de semana alterno a Canarias, Galicia, Extremadura o País Vasco. El CB </w:t>
      </w:r>
      <w:proofErr w:type="spellStart"/>
      <w:r>
        <w:rPr>
          <w:color w:val="333333"/>
        </w:rPr>
        <w:t>Grup</w:t>
      </w:r>
      <w:proofErr w:type="spellEnd"/>
      <w:r>
        <w:rPr>
          <w:color w:val="333333"/>
        </w:rPr>
        <w:t xml:space="preserve"> Barna, por ejemplo, ha visto cómo jugadoras formadas en su cantera han marchado al </w:t>
      </w:r>
      <w:proofErr w:type="spellStart"/>
      <w:r>
        <w:rPr>
          <w:color w:val="333333"/>
        </w:rPr>
        <w:t>Basket</w:t>
      </w:r>
      <w:proofErr w:type="spellEnd"/>
      <w:r>
        <w:rPr>
          <w:color w:val="333333"/>
        </w:rPr>
        <w:t xml:space="preserve"> Almeda y al UE Mataró para poder competir en LF2. El resultado es un drenaje sistemático de talento desde la capital hacia municipios vecinos.</w:t>
      </w:r>
    </w:p>
    <w:p w14:paraId="0BA9C4DE" w14:textId="77777777" w:rsidR="00FF061D" w:rsidRDefault="00000000">
      <w:pPr>
        <w:spacing w:before="200" w:after="100"/>
      </w:pPr>
      <w:r>
        <w:rPr>
          <w:b/>
          <w:bCs/>
          <w:color w:val="C41E3A"/>
          <w:sz w:val="22"/>
          <w:szCs w:val="22"/>
        </w:rPr>
        <w:t>Modelo de financiación municipal desfavorable</w:t>
      </w:r>
    </w:p>
    <w:p w14:paraId="0AF222C3" w14:textId="77777777" w:rsidR="00FF061D" w:rsidRDefault="00000000">
      <w:pPr>
        <w:spacing w:after="160" w:line="276" w:lineRule="auto"/>
        <w:jc w:val="both"/>
      </w:pPr>
      <w:r w:rsidRPr="00173D4A">
        <w:rPr>
          <w:color w:val="333333"/>
          <w:highlight w:val="yellow"/>
        </w:rPr>
        <w:t>En ciudades medianas, un equipo de LF2 puede ser “el equipo de la ciudad” y recibir apoyo institucional significativo. En Barcelona, con un presupuesto deportivo orientado a grandes eventos e infraestructuras olímpicas, un equipo de LF2 o de máxima categoría catalana resulta invisible para las políticas públicas de promoción deportiva.</w:t>
      </w:r>
    </w:p>
    <w:p w14:paraId="062C4977" w14:textId="77777777" w:rsidR="00FF061D" w:rsidRDefault="00000000">
      <w:r>
        <w:br w:type="page"/>
      </w:r>
    </w:p>
    <w:p w14:paraId="6C0B1DAA" w14:textId="77777777" w:rsidR="00FF061D" w:rsidRDefault="00000000">
      <w:pPr>
        <w:pStyle w:val="Ttulo1"/>
        <w:pBdr>
          <w:bottom w:val="single" w:sz="2" w:space="6" w:color="1B3A5C"/>
        </w:pBdr>
      </w:pPr>
      <w:bookmarkStart w:id="7" w:name="_Toc224839636"/>
      <w:r>
        <w:lastRenderedPageBreak/>
        <w:t>3. EL COLAPSO DE LOS MODELOS DEPENDIENTES</w:t>
      </w:r>
      <w:bookmarkEnd w:id="7"/>
    </w:p>
    <w:p w14:paraId="017DEEE2" w14:textId="77777777" w:rsidR="00FF061D" w:rsidRDefault="00000000">
      <w:pPr>
        <w:pStyle w:val="Ttulo2"/>
      </w:pPr>
      <w:bookmarkStart w:id="8" w:name="_Toc224839637"/>
      <w:r>
        <w:t xml:space="preserve">3.1 El caso Barça CBS / CB </w:t>
      </w:r>
      <w:proofErr w:type="spellStart"/>
      <w:r>
        <w:t>Santfeliuenc</w:t>
      </w:r>
      <w:bookmarkEnd w:id="8"/>
      <w:proofErr w:type="spellEnd"/>
    </w:p>
    <w:p w14:paraId="57420BC6" w14:textId="77777777" w:rsidR="00FF061D" w:rsidRDefault="00000000">
      <w:pPr>
        <w:spacing w:after="160" w:line="276" w:lineRule="auto"/>
        <w:jc w:val="both"/>
      </w:pPr>
      <w:r>
        <w:rPr>
          <w:color w:val="333333"/>
        </w:rPr>
        <w:t xml:space="preserve">En febrero de 2025, el FC Barcelona anunció que no renovaría el convenio de colaboración con el CB </w:t>
      </w:r>
      <w:proofErr w:type="spellStart"/>
      <w:r>
        <w:rPr>
          <w:color w:val="333333"/>
        </w:rPr>
        <w:t>Santfeliuenc</w:t>
      </w:r>
      <w:proofErr w:type="spellEnd"/>
      <w:r>
        <w:rPr>
          <w:color w:val="333333"/>
        </w:rPr>
        <w:t>. Este convenio, activo desde 2011, implicaba aportación económica, uso de la marca Barça, suministro de material deportivo, cesión de instalaciones de entrenamiento y acceso a servicios médicos. El Barça CBS llegó a competir en la Liga Femenina Endesa (máxima categoría) en las temporadas 2022-23 y 2023-24, disputando Copa de la Reina y playoffs. Sin embargo, las jugadoras denunciaron impagos y falta de condiciones profesionales básicas.</w:t>
      </w:r>
    </w:p>
    <w:p w14:paraId="1BCA8333" w14:textId="77777777" w:rsidR="00FF061D" w:rsidRDefault="00000000">
      <w:pPr>
        <w:spacing w:after="160" w:line="276" w:lineRule="auto"/>
        <w:jc w:val="both"/>
      </w:pPr>
      <w:r>
        <w:rPr>
          <w:color w:val="333333"/>
        </w:rPr>
        <w:t xml:space="preserve">Tras la ruptura, el </w:t>
      </w:r>
      <w:proofErr w:type="spellStart"/>
      <w:r>
        <w:rPr>
          <w:color w:val="333333"/>
        </w:rPr>
        <w:t>Santfeliuenc</w:t>
      </w:r>
      <w:proofErr w:type="spellEnd"/>
      <w:r>
        <w:rPr>
          <w:color w:val="333333"/>
        </w:rPr>
        <w:t xml:space="preserve"> no solo es colista de la LF </w:t>
      </w:r>
      <w:proofErr w:type="spellStart"/>
      <w:r>
        <w:rPr>
          <w:color w:val="333333"/>
        </w:rPr>
        <w:t>Challenge</w:t>
      </w:r>
      <w:proofErr w:type="spellEnd"/>
      <w:r>
        <w:rPr>
          <w:color w:val="333333"/>
        </w:rPr>
        <w:t xml:space="preserve"> con 1 victoria en 19 partidos, sino que se ha retirado de la Super Copa femenina catalana. Su sección femenina ha desaparecido prácticamente de las competiciones catalanas de máximo nivel, manteniendo únicamente el primer equipo de LF </w:t>
      </w:r>
      <w:proofErr w:type="spellStart"/>
      <w:r>
        <w:rPr>
          <w:color w:val="333333"/>
        </w:rPr>
        <w:t>Challenge</w:t>
      </w:r>
      <w:proofErr w:type="spellEnd"/>
      <w:r>
        <w:rPr>
          <w:color w:val="333333"/>
        </w:rPr>
        <w:t xml:space="preserve"> hasta final de temporada.</w:t>
      </w:r>
    </w:p>
    <w:p w14:paraId="4317F96B" w14:textId="77777777" w:rsidR="00FF061D" w:rsidRDefault="00000000">
      <w:pPr>
        <w:spacing w:after="160" w:line="276" w:lineRule="auto"/>
        <w:jc w:val="both"/>
      </w:pPr>
      <w:r>
        <w:rPr>
          <w:color w:val="333333"/>
        </w:rPr>
        <w:t xml:space="preserve">La lección es inequívoca: un modelo basado en la dependencia de una </w:t>
      </w:r>
      <w:proofErr w:type="spellStart"/>
      <w:r>
        <w:rPr>
          <w:color w:val="333333"/>
        </w:rPr>
        <w:t>macroentidad</w:t>
      </w:r>
      <w:proofErr w:type="spellEnd"/>
      <w:r>
        <w:rPr>
          <w:color w:val="333333"/>
        </w:rPr>
        <w:t xml:space="preserve"> externa genera crecimiento artificial que colapsa cuando esa entidad se retira.</w:t>
      </w:r>
    </w:p>
    <w:p w14:paraId="09C85910" w14:textId="77777777" w:rsidR="00FF061D" w:rsidRDefault="00000000">
      <w:pPr>
        <w:pStyle w:val="Ttulo2"/>
      </w:pPr>
      <w:bookmarkStart w:id="9" w:name="_Toc224839638"/>
      <w:r>
        <w:t>3.2 Las dificultades del Lima-Horta</w:t>
      </w:r>
      <w:bookmarkEnd w:id="9"/>
    </w:p>
    <w:p w14:paraId="660D7076" w14:textId="77777777" w:rsidR="00FF061D" w:rsidRDefault="00000000">
      <w:pPr>
        <w:spacing w:after="160" w:line="276" w:lineRule="auto"/>
        <w:jc w:val="both"/>
      </w:pPr>
      <w:r>
        <w:rPr>
          <w:color w:val="333333"/>
        </w:rPr>
        <w:t xml:space="preserve">El CB Santa Rosa de Lima Horta, fundado en 1989 en el barrio de Horta-Guinardó, es el único club comunitario de Barcelona ciudad en ligas FEB femeninas. Compite en la LF </w:t>
      </w:r>
      <w:proofErr w:type="spellStart"/>
      <w:r>
        <w:rPr>
          <w:color w:val="333333"/>
        </w:rPr>
        <w:t>Challenge</w:t>
      </w:r>
      <w:proofErr w:type="spellEnd"/>
      <w:r>
        <w:rPr>
          <w:color w:val="333333"/>
        </w:rPr>
        <w:t xml:space="preserve"> desde su creación en 2021 y es campeón de la </w:t>
      </w:r>
      <w:proofErr w:type="spellStart"/>
      <w:r>
        <w:rPr>
          <w:color w:val="333333"/>
        </w:rPr>
        <w:t>Lliga</w:t>
      </w:r>
      <w:proofErr w:type="spellEnd"/>
      <w:r>
        <w:rPr>
          <w:color w:val="333333"/>
        </w:rPr>
        <w:t xml:space="preserve"> Catalana Femenina </w:t>
      </w:r>
      <w:proofErr w:type="spellStart"/>
      <w:r>
        <w:rPr>
          <w:color w:val="333333"/>
        </w:rPr>
        <w:t>Challenge</w:t>
      </w:r>
      <w:proofErr w:type="spellEnd"/>
      <w:r>
        <w:rPr>
          <w:color w:val="333333"/>
        </w:rPr>
        <w:t xml:space="preserve"> 2024. Sin embargo, su supervivencia es frágil: en la temporada 2023-24 se salvó del descenso porque otro club renunció a su plaza.</w:t>
      </w:r>
    </w:p>
    <w:p w14:paraId="2CA03ACE" w14:textId="77777777" w:rsidR="00FF061D" w:rsidRDefault="00000000">
      <w:pPr>
        <w:spacing w:after="160" w:line="276" w:lineRule="auto"/>
        <w:jc w:val="both"/>
      </w:pPr>
      <w:r>
        <w:rPr>
          <w:color w:val="333333"/>
        </w:rPr>
        <w:t>Sus condiciones operativas son extremadamente precarias: no dispone de pabellón propio, paga 110.000 euros anuales en alquileres de pistas, sus jugadoras son amateurs que compaginan trabajo a jornada completa con entrenamientos, y las mejores jugadoras acaban marchando a clubs con más recursos. El propio club se define como “club trampolín”: forma talento que se pierde sistemáticamente.</w:t>
      </w:r>
    </w:p>
    <w:p w14:paraId="19FCC5CF" w14:textId="77777777" w:rsidR="00FF061D" w:rsidRDefault="00000000">
      <w:pPr>
        <w:pStyle w:val="Ttulo2"/>
      </w:pPr>
      <w:bookmarkStart w:id="10" w:name="_Toc224839639"/>
      <w:r>
        <w:t>3.3 El SESE en Super Copa: otro club histórico en declive</w:t>
      </w:r>
      <w:bookmarkEnd w:id="10"/>
    </w:p>
    <w:p w14:paraId="113D48EE" w14:textId="77777777" w:rsidR="00FF061D" w:rsidRDefault="00000000">
      <w:pPr>
        <w:spacing w:after="160" w:line="276" w:lineRule="auto"/>
        <w:jc w:val="both"/>
      </w:pPr>
      <w:r>
        <w:rPr>
          <w:color w:val="333333"/>
        </w:rPr>
        <w:t xml:space="preserve">El SESE, club histórico del barrio de </w:t>
      </w:r>
      <w:proofErr w:type="spellStart"/>
      <w:r>
        <w:rPr>
          <w:color w:val="333333"/>
        </w:rPr>
        <w:t>Virrei</w:t>
      </w:r>
      <w:proofErr w:type="spellEnd"/>
      <w:r>
        <w:rPr>
          <w:color w:val="333333"/>
        </w:rPr>
        <w:t xml:space="preserve"> Amat (distrito de Nou </w:t>
      </w:r>
      <w:proofErr w:type="spellStart"/>
      <w:r>
        <w:rPr>
          <w:color w:val="333333"/>
        </w:rPr>
        <w:t>Barris</w:t>
      </w:r>
      <w:proofErr w:type="spellEnd"/>
      <w:r>
        <w:rPr>
          <w:color w:val="333333"/>
        </w:rPr>
        <w:t>), atraviesa una temporada complicada en la Super Copa femenina. Con un balance negativo a la altura de la jornada 15 (6-8</w:t>
      </w:r>
      <w:r w:rsidRPr="00173D4A">
        <w:rPr>
          <w:color w:val="333333"/>
          <w:highlight w:val="yellow"/>
        </w:rPr>
        <w:t>), se encuentra en la mitad baja de la clasificación y corre riesgo de acabar en zona de descenso a Copa Catalunya (descienden los cuatro últimos: 13º a 16º). Si esto ocurriera, otro club histórico de Barcelona ciudad perdería su plaza en la máxima competición catalana femenina.</w:t>
      </w:r>
    </w:p>
    <w:p w14:paraId="772384CF" w14:textId="77777777" w:rsidR="00FF061D" w:rsidRDefault="00000000">
      <w:r>
        <w:br w:type="page"/>
      </w:r>
    </w:p>
    <w:p w14:paraId="28AAFBCD" w14:textId="77777777" w:rsidR="00FF061D" w:rsidRDefault="00000000">
      <w:pPr>
        <w:pStyle w:val="Ttulo1"/>
        <w:pBdr>
          <w:bottom w:val="single" w:sz="2" w:space="6" w:color="1B3A5C"/>
        </w:pBdr>
      </w:pPr>
      <w:bookmarkStart w:id="11" w:name="_Toc224839640"/>
      <w:r>
        <w:lastRenderedPageBreak/>
        <w:t>4. LA OPORTUNIDAD: CB GRUP BARNA COMO PROYECTO VERTEBRADOR</w:t>
      </w:r>
      <w:bookmarkEnd w:id="11"/>
    </w:p>
    <w:p w14:paraId="428AB207" w14:textId="77777777" w:rsidR="00FF061D" w:rsidRDefault="00000000">
      <w:pPr>
        <w:pStyle w:val="Ttulo2"/>
      </w:pPr>
      <w:bookmarkStart w:id="12" w:name="_Toc224839641"/>
      <w:r>
        <w:t>4.1 Perfil del club</w:t>
      </w:r>
      <w:bookmarkEnd w:id="12"/>
    </w:p>
    <w:p w14:paraId="5DDC861E" w14:textId="77777777" w:rsidR="00FF061D" w:rsidRDefault="00000000">
      <w:pPr>
        <w:spacing w:after="160" w:line="276" w:lineRule="auto"/>
        <w:jc w:val="both"/>
      </w:pPr>
      <w:r>
        <w:rPr>
          <w:color w:val="333333"/>
        </w:rPr>
        <w:t xml:space="preserve">El CB </w:t>
      </w:r>
      <w:proofErr w:type="spellStart"/>
      <w:r>
        <w:rPr>
          <w:color w:val="333333"/>
        </w:rPr>
        <w:t>Grup</w:t>
      </w:r>
      <w:proofErr w:type="spellEnd"/>
      <w:r>
        <w:rPr>
          <w:color w:val="333333"/>
        </w:rPr>
        <w:t xml:space="preserve"> Barna, fundado en 1965, es un club de barrio arraigado en el Clot, en el distrito de Sant Martí. Cuenta con más de 5.000 seguidores en Instagram, cantera propia en todas las categorías de formación (masculinas y femeninas), y su sede deportiva es La Nau del Clot. A diferencia de los modelos que han fracasado, el </w:t>
      </w:r>
      <w:proofErr w:type="spellStart"/>
      <w:r>
        <w:rPr>
          <w:color w:val="333333"/>
        </w:rPr>
        <w:t>Grup</w:t>
      </w:r>
      <w:proofErr w:type="spellEnd"/>
      <w:r>
        <w:rPr>
          <w:color w:val="333333"/>
        </w:rPr>
        <w:t xml:space="preserve"> Barna opera bajo un modelo económico autosostenible: no depende de </w:t>
      </w:r>
      <w:proofErr w:type="spellStart"/>
      <w:r>
        <w:rPr>
          <w:color w:val="333333"/>
        </w:rPr>
        <w:t>macroentidades</w:t>
      </w:r>
      <w:proofErr w:type="spellEnd"/>
      <w:r>
        <w:rPr>
          <w:color w:val="333333"/>
        </w:rPr>
        <w:t xml:space="preserve"> externas, ajusta su crecimiento a los recursos que genera y mantiene una identidad comunitaria real.</w:t>
      </w:r>
    </w:p>
    <w:p w14:paraId="701202FD" w14:textId="77777777" w:rsidR="00FF061D" w:rsidRDefault="00000000">
      <w:pPr>
        <w:pStyle w:val="Ttulo2"/>
      </w:pPr>
      <w:bookmarkStart w:id="13" w:name="_Toc224839642"/>
      <w:r>
        <w:t>4.2 Situación competitiva actual</w:t>
      </w:r>
      <w:bookmarkEnd w:id="13"/>
    </w:p>
    <w:p w14:paraId="7E0998CB" w14:textId="77777777" w:rsidR="00FF061D" w:rsidRDefault="00000000">
      <w:pPr>
        <w:spacing w:after="160" w:line="276" w:lineRule="auto"/>
        <w:jc w:val="both"/>
      </w:pPr>
      <w:r>
        <w:rPr>
          <w:color w:val="333333"/>
        </w:rPr>
        <w:t xml:space="preserve">En la temporada 2025-26, el CB </w:t>
      </w:r>
      <w:proofErr w:type="spellStart"/>
      <w:r>
        <w:rPr>
          <w:color w:val="333333"/>
        </w:rPr>
        <w:t>Grup</w:t>
      </w:r>
      <w:proofErr w:type="spellEnd"/>
      <w:r>
        <w:rPr>
          <w:color w:val="333333"/>
        </w:rPr>
        <w:t xml:space="preserve"> Barna compite con dos equipos sénior femeninos, un modelo estratégicamente significativo y sostenible:</w:t>
      </w:r>
    </w:p>
    <w:p w14:paraId="5137B1BC" w14:textId="77777777" w:rsidR="00FF061D" w:rsidRDefault="00000000">
      <w:pPr>
        <w:spacing w:after="160" w:line="276" w:lineRule="auto"/>
        <w:jc w:val="both"/>
      </w:pPr>
      <w:r>
        <w:rPr>
          <w:b/>
          <w:bCs/>
          <w:color w:val="333333"/>
        </w:rPr>
        <w:t xml:space="preserve">Super Copa femenina (máxima categoría catalana): </w:t>
      </w:r>
      <w:r>
        <w:rPr>
          <w:color w:val="333333"/>
        </w:rPr>
        <w:t xml:space="preserve">el equipo </w:t>
      </w:r>
      <w:proofErr w:type="spellStart"/>
      <w:r>
        <w:rPr>
          <w:color w:val="333333"/>
        </w:rPr>
        <w:t>Instax</w:t>
      </w:r>
      <w:proofErr w:type="spellEnd"/>
      <w:r>
        <w:rPr>
          <w:color w:val="333333"/>
        </w:rPr>
        <w:t xml:space="preserve">-CB </w:t>
      </w:r>
      <w:proofErr w:type="spellStart"/>
      <w:r>
        <w:rPr>
          <w:color w:val="333333"/>
        </w:rPr>
        <w:t>Grup</w:t>
      </w:r>
      <w:proofErr w:type="spellEnd"/>
      <w:r>
        <w:rPr>
          <w:color w:val="333333"/>
        </w:rPr>
        <w:t xml:space="preserve"> Barna A ocupa posiciones altas de la clasificación. En la jornada 15 presentaba un balance de 10-4, igualado con el CB Igualada en la zona que da acceso a la fase de ascenso a LF2. La FCBQ lo ha destacado como uno de los equipos más sólidos de la competición, con una racha de 7 victorias consecutivas en casa y exhibiciones defensivas notables.</w:t>
      </w:r>
    </w:p>
    <w:p w14:paraId="60AA5B3A" w14:textId="77777777" w:rsidR="00FF061D" w:rsidRDefault="00000000">
      <w:pPr>
        <w:spacing w:after="160" w:line="276" w:lineRule="auto"/>
        <w:jc w:val="both"/>
      </w:pPr>
      <w:r>
        <w:rPr>
          <w:b/>
          <w:bCs/>
          <w:color w:val="333333"/>
        </w:rPr>
        <w:t xml:space="preserve">Copa Catalunya femenina (segunda categoría catalana): </w:t>
      </w:r>
      <w:r>
        <w:rPr>
          <w:color w:val="333333"/>
        </w:rPr>
        <w:t xml:space="preserve">el equipo Outletmoto.com CB </w:t>
      </w:r>
      <w:proofErr w:type="spellStart"/>
      <w:r>
        <w:rPr>
          <w:color w:val="333333"/>
        </w:rPr>
        <w:t>Grup</w:t>
      </w:r>
      <w:proofErr w:type="spellEnd"/>
      <w:r>
        <w:rPr>
          <w:color w:val="333333"/>
        </w:rPr>
        <w:t xml:space="preserve"> Barna A compite en esta categoría, que funciona como plataforma de desarrollo y cantera directa para el primer equipo de Super Copa.</w:t>
      </w:r>
    </w:p>
    <w:p w14:paraId="027AA96C" w14:textId="77777777" w:rsidR="00FF061D" w:rsidRDefault="00000000">
      <w:pPr>
        <w:pStyle w:val="Ttulo2"/>
      </w:pPr>
      <w:bookmarkStart w:id="14" w:name="_Toc224839643"/>
      <w:r>
        <w:t>4.3 El modelo de dos equipos: clave de sostenibilidad</w:t>
      </w:r>
      <w:bookmarkEnd w:id="14"/>
    </w:p>
    <w:p w14:paraId="36C2568C" w14:textId="77777777" w:rsidR="00FF061D" w:rsidRDefault="00000000">
      <w:pPr>
        <w:spacing w:after="160" w:line="276" w:lineRule="auto"/>
        <w:jc w:val="both"/>
      </w:pPr>
      <w:r>
        <w:rPr>
          <w:color w:val="333333"/>
        </w:rPr>
        <w:t>La disposición de dos equipos sénior femeninos en dos categorías escalonadas es una decisión estratégica diferencial. El equipo de Copa Catalunya forma jugadoras que progresan al de Super Copa, y las jugadoras que necesitan minutos de competición pueden bajar a Copa Catalunya sin salir del club. Si el equipo principal asciende a LF2, el equipo de Super Copa o Copa Catalunya sigue alimentando la cantera y garantiza la presencia del club en la competición catalana. Si una temporada en LF2 resulta adversa y el equipo desciende, existe la red de seguridad del circuito catalán.</w:t>
      </w:r>
    </w:p>
    <w:p w14:paraId="587F092F" w14:textId="77777777" w:rsidR="00FF061D" w:rsidRDefault="00000000">
      <w:pPr>
        <w:spacing w:after="160" w:line="276" w:lineRule="auto"/>
        <w:jc w:val="both"/>
      </w:pPr>
      <w:r>
        <w:rPr>
          <w:color w:val="333333"/>
        </w:rPr>
        <w:t xml:space="preserve">Este modelo contrasta radicalmente con el del </w:t>
      </w:r>
      <w:proofErr w:type="spellStart"/>
      <w:r>
        <w:rPr>
          <w:color w:val="333333"/>
        </w:rPr>
        <w:t>Santfeliuenc</w:t>
      </w:r>
      <w:proofErr w:type="spellEnd"/>
      <w:r>
        <w:rPr>
          <w:color w:val="333333"/>
        </w:rPr>
        <w:t>, donde la desaparición del proyecto Barça CBS ha dejado al club sin ningún equipo femenino en las competiciones catalanas de máximo nivel.</w:t>
      </w:r>
    </w:p>
    <w:p w14:paraId="1C903621" w14:textId="77777777" w:rsidR="00FF061D" w:rsidRDefault="00000000">
      <w:pPr>
        <w:pStyle w:val="Ttulo2"/>
      </w:pPr>
      <w:bookmarkStart w:id="15" w:name="_Toc224839644"/>
      <w:r>
        <w:t>4.4 Vía de acceso a LF2</w:t>
      </w:r>
      <w:bookmarkEnd w:id="15"/>
    </w:p>
    <w:p w14:paraId="63795299" w14:textId="77777777" w:rsidR="00FF061D" w:rsidRDefault="00000000">
      <w:pPr>
        <w:spacing w:after="160" w:line="276" w:lineRule="auto"/>
        <w:jc w:val="both"/>
      </w:pPr>
      <w:r>
        <w:rPr>
          <w:color w:val="333333"/>
        </w:rPr>
        <w:t xml:space="preserve">Según las bases de competición de la FCBQ, el campeón de la Super Copa accede directamente a la fase de ascenso a LF2. El segundo al quinto clasificados disputan una Final a Cuatro que, en función de vacantes en la LF2, puede otorgar plazas de ascenso adicionales. Si el </w:t>
      </w:r>
      <w:proofErr w:type="spellStart"/>
      <w:r>
        <w:rPr>
          <w:color w:val="333333"/>
        </w:rPr>
        <w:t>Santfeliuenc</w:t>
      </w:r>
      <w:proofErr w:type="spellEnd"/>
      <w:r>
        <w:rPr>
          <w:color w:val="333333"/>
        </w:rPr>
        <w:t xml:space="preserve"> desciende de LF </w:t>
      </w:r>
      <w:proofErr w:type="spellStart"/>
      <w:r>
        <w:rPr>
          <w:color w:val="333333"/>
        </w:rPr>
        <w:t>Challenge</w:t>
      </w:r>
      <w:proofErr w:type="spellEnd"/>
      <w:r>
        <w:rPr>
          <w:color w:val="333333"/>
        </w:rPr>
        <w:t xml:space="preserve"> a LF2 y posteriormente renuncia a su plaza (como ya ocurrió con el </w:t>
      </w:r>
      <w:proofErr w:type="spellStart"/>
      <w:r>
        <w:rPr>
          <w:color w:val="333333"/>
        </w:rPr>
        <w:t>Picken</w:t>
      </w:r>
      <w:proofErr w:type="spellEnd"/>
      <w:r>
        <w:rPr>
          <w:color w:val="333333"/>
        </w:rPr>
        <w:t xml:space="preserve"> Claret en la LF </w:t>
      </w:r>
      <w:proofErr w:type="spellStart"/>
      <w:r>
        <w:rPr>
          <w:color w:val="333333"/>
        </w:rPr>
        <w:t>Challenge</w:t>
      </w:r>
      <w:proofErr w:type="spellEnd"/>
      <w:r>
        <w:rPr>
          <w:color w:val="333333"/>
        </w:rPr>
        <w:t xml:space="preserve"> 2023-24), se generaría una vacante adicional que beneficiaría a los clubs catalanes en posición de ascenso.</w:t>
      </w:r>
    </w:p>
    <w:p w14:paraId="4062A3C7" w14:textId="77777777" w:rsidR="00FF061D" w:rsidRDefault="00000000">
      <w:r>
        <w:br w:type="page"/>
      </w:r>
    </w:p>
    <w:p w14:paraId="2331EE39" w14:textId="77777777" w:rsidR="00FF061D" w:rsidRDefault="00000000">
      <w:pPr>
        <w:pStyle w:val="Ttulo1"/>
        <w:pBdr>
          <w:bottom w:val="single" w:sz="2" w:space="6" w:color="1B3A5C"/>
        </w:pBdr>
      </w:pPr>
      <w:bookmarkStart w:id="16" w:name="_Toc224839645"/>
      <w:r>
        <w:lastRenderedPageBreak/>
        <w:t>5. ESCENARIO PREVISIBLE: TEMPORADA 2026-27</w:t>
      </w:r>
      <w:bookmarkEnd w:id="16"/>
    </w:p>
    <w:p w14:paraId="4D8CCDE2" w14:textId="77777777" w:rsidR="00FF061D" w:rsidRDefault="00000000">
      <w:pPr>
        <w:spacing w:after="160" w:line="276" w:lineRule="auto"/>
        <w:jc w:val="both"/>
      </w:pPr>
      <w:r>
        <w:rPr>
          <w:color w:val="333333"/>
        </w:rPr>
        <w:t>Los movimientos que se producirán previsiblemente al término de la temporada 2025-26 configuran un escenario de reconfiguración profunda del baloncesto femenino en el área metropolitana de Barcelona: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2013"/>
        <w:gridCol w:w="2013"/>
      </w:tblGrid>
      <w:tr w:rsidR="00FF061D" w14:paraId="64E6ED6C"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2DC33464" w14:textId="77777777" w:rsidR="00FF061D" w:rsidRDefault="00000000">
            <w:r>
              <w:rPr>
                <w:b/>
                <w:bCs/>
                <w:color w:val="FFFFFF"/>
                <w:sz w:val="18"/>
                <w:szCs w:val="18"/>
              </w:rPr>
              <w:t>Club</w:t>
            </w:r>
          </w:p>
        </w:tc>
        <w:tc>
          <w:tcPr>
            <w:tcW w:w="2500"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34BD9946" w14:textId="77777777" w:rsidR="00FF061D" w:rsidRDefault="00000000">
            <w:pPr>
              <w:jc w:val="center"/>
            </w:pPr>
            <w:r>
              <w:rPr>
                <w:b/>
                <w:bCs/>
                <w:color w:val="FFFFFF"/>
                <w:sz w:val="18"/>
                <w:szCs w:val="18"/>
              </w:rPr>
              <w:t>Categoría actual</w:t>
            </w:r>
          </w:p>
        </w:tc>
        <w:tc>
          <w:tcPr>
            <w:tcW w:w="2013"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68ADEE11" w14:textId="77777777" w:rsidR="00FF061D" w:rsidRDefault="00000000">
            <w:pPr>
              <w:jc w:val="center"/>
            </w:pPr>
            <w:r>
              <w:rPr>
                <w:b/>
                <w:bCs/>
                <w:color w:val="FFFFFF"/>
                <w:sz w:val="18"/>
                <w:szCs w:val="18"/>
              </w:rPr>
              <w:t>Escenario previsible</w:t>
            </w:r>
          </w:p>
        </w:tc>
        <w:tc>
          <w:tcPr>
            <w:tcW w:w="2013" w:type="dxa"/>
            <w:tcBorders>
              <w:top w:val="single" w:sz="1" w:space="0" w:color="AAAAAA"/>
              <w:left w:val="single" w:sz="1" w:space="0" w:color="AAAAAA"/>
              <w:bottom w:val="single" w:sz="1" w:space="0" w:color="AAAAAA"/>
              <w:right w:val="single" w:sz="1" w:space="0" w:color="AAAAAA"/>
            </w:tcBorders>
            <w:shd w:val="clear" w:color="auto" w:fill="1B3A5C"/>
            <w:tcMar>
              <w:top w:w="60" w:type="dxa"/>
              <w:left w:w="100" w:type="dxa"/>
              <w:bottom w:w="60" w:type="dxa"/>
              <w:right w:w="100" w:type="dxa"/>
            </w:tcMar>
            <w:vAlign w:val="center"/>
          </w:tcPr>
          <w:p w14:paraId="7392E1A2" w14:textId="77777777" w:rsidR="00FF061D" w:rsidRDefault="00000000">
            <w:pPr>
              <w:jc w:val="center"/>
            </w:pPr>
            <w:r>
              <w:rPr>
                <w:b/>
                <w:bCs/>
                <w:color w:val="FFFFFF"/>
                <w:sz w:val="18"/>
                <w:szCs w:val="18"/>
              </w:rPr>
              <w:t>Impacto</w:t>
            </w:r>
          </w:p>
        </w:tc>
      </w:tr>
      <w:tr w:rsidR="00FF061D" w14:paraId="5BB6E797"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0A2F45E5" w14:textId="77777777" w:rsidR="00FF061D" w:rsidRDefault="00000000">
            <w:r>
              <w:rPr>
                <w:b/>
                <w:bCs/>
                <w:color w:val="333333"/>
                <w:sz w:val="19"/>
                <w:szCs w:val="19"/>
              </w:rPr>
              <w:t xml:space="preserve">CB </w:t>
            </w:r>
            <w:proofErr w:type="spellStart"/>
            <w:r>
              <w:rPr>
                <w:b/>
                <w:bCs/>
                <w:color w:val="333333"/>
                <w:sz w:val="19"/>
                <w:szCs w:val="19"/>
              </w:rPr>
              <w:t>Santfeliuenc</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529906C1" w14:textId="77777777" w:rsidR="00FF061D" w:rsidRDefault="00000000">
            <w:pPr>
              <w:jc w:val="center"/>
            </w:pPr>
            <w:r>
              <w:rPr>
                <w:color w:val="333333"/>
                <w:sz w:val="19"/>
                <w:szCs w:val="19"/>
              </w:rPr>
              <w:t xml:space="preserve">LF </w:t>
            </w:r>
            <w:proofErr w:type="spellStart"/>
            <w:r>
              <w:rPr>
                <w:color w:val="333333"/>
                <w:sz w:val="19"/>
                <w:szCs w:val="19"/>
              </w:rPr>
              <w:t>Challenge</w:t>
            </w:r>
            <w:proofErr w:type="spellEnd"/>
            <w:r>
              <w:rPr>
                <w:color w:val="333333"/>
                <w:sz w:val="19"/>
                <w:szCs w:val="19"/>
              </w:rPr>
              <w:t xml:space="preserve"> (16ª)</w:t>
            </w:r>
          </w:p>
        </w:tc>
        <w:tc>
          <w:tcPr>
            <w:tcW w:w="20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53A50C87" w14:textId="77777777" w:rsidR="00FF061D" w:rsidRDefault="00000000">
            <w:pPr>
              <w:jc w:val="center"/>
            </w:pPr>
            <w:r>
              <w:rPr>
                <w:color w:val="333333"/>
                <w:sz w:val="19"/>
                <w:szCs w:val="19"/>
              </w:rPr>
              <w:t>Descenso o desaparición</w:t>
            </w:r>
          </w:p>
        </w:tc>
        <w:tc>
          <w:tcPr>
            <w:tcW w:w="20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7DDE7EE4" w14:textId="77777777" w:rsidR="00FF061D" w:rsidRDefault="00000000">
            <w:pPr>
              <w:jc w:val="center"/>
            </w:pPr>
            <w:r>
              <w:rPr>
                <w:color w:val="333333"/>
                <w:sz w:val="19"/>
                <w:szCs w:val="19"/>
              </w:rPr>
              <w:t>Vacante LF2/</w:t>
            </w:r>
            <w:proofErr w:type="spellStart"/>
            <w:r>
              <w:rPr>
                <w:color w:val="333333"/>
                <w:sz w:val="19"/>
                <w:szCs w:val="19"/>
              </w:rPr>
              <w:t>Challenge</w:t>
            </w:r>
            <w:proofErr w:type="spellEnd"/>
          </w:p>
        </w:tc>
      </w:tr>
      <w:tr w:rsidR="00FF061D" w14:paraId="5E76E291"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2DF61F3" w14:textId="77777777" w:rsidR="00FF061D" w:rsidRDefault="00000000">
            <w:r>
              <w:rPr>
                <w:b/>
                <w:bCs/>
                <w:color w:val="333333"/>
                <w:sz w:val="19"/>
                <w:szCs w:val="19"/>
              </w:rPr>
              <w:t>Lima-Horta</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EBD75CE" w14:textId="77777777" w:rsidR="00FF061D" w:rsidRDefault="00000000">
            <w:pPr>
              <w:jc w:val="center"/>
            </w:pPr>
            <w:r>
              <w:rPr>
                <w:color w:val="333333"/>
                <w:sz w:val="19"/>
                <w:szCs w:val="19"/>
              </w:rPr>
              <w:t xml:space="preserve">LF </w:t>
            </w:r>
            <w:proofErr w:type="spellStart"/>
            <w:r>
              <w:rPr>
                <w:color w:val="333333"/>
                <w:sz w:val="19"/>
                <w:szCs w:val="19"/>
              </w:rPr>
              <w:t>Challenge</w:t>
            </w:r>
            <w:proofErr w:type="spellEnd"/>
            <w:r>
              <w:rPr>
                <w:color w:val="333333"/>
                <w:sz w:val="19"/>
                <w:szCs w:val="19"/>
              </w:rPr>
              <w:t xml:space="preserve"> (10ª)</w:t>
            </w:r>
          </w:p>
        </w:tc>
        <w:tc>
          <w:tcPr>
            <w:tcW w:w="20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55D2119" w14:textId="77777777" w:rsidR="00FF061D" w:rsidRDefault="00000000">
            <w:pPr>
              <w:jc w:val="center"/>
            </w:pPr>
            <w:r>
              <w:rPr>
                <w:color w:val="333333"/>
                <w:sz w:val="19"/>
                <w:szCs w:val="19"/>
              </w:rPr>
              <w:t>Permanencia incierta</w:t>
            </w:r>
          </w:p>
        </w:tc>
        <w:tc>
          <w:tcPr>
            <w:tcW w:w="20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0CB9DF0" w14:textId="77777777" w:rsidR="00FF061D" w:rsidRDefault="00000000">
            <w:pPr>
              <w:jc w:val="center"/>
            </w:pPr>
            <w:r>
              <w:rPr>
                <w:color w:val="333333"/>
                <w:sz w:val="19"/>
                <w:szCs w:val="19"/>
              </w:rPr>
              <w:t xml:space="preserve">Si baja: BCN sin LF </w:t>
            </w:r>
            <w:proofErr w:type="spellStart"/>
            <w:r>
              <w:rPr>
                <w:color w:val="333333"/>
                <w:sz w:val="19"/>
                <w:szCs w:val="19"/>
              </w:rPr>
              <w:t>Challenge</w:t>
            </w:r>
            <w:proofErr w:type="spellEnd"/>
          </w:p>
        </w:tc>
      </w:tr>
      <w:tr w:rsidR="00FF061D" w14:paraId="4ECCBCD2"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11DEC17A" w14:textId="77777777" w:rsidR="00FF061D" w:rsidRDefault="00000000">
            <w:r>
              <w:rPr>
                <w:b/>
                <w:bCs/>
                <w:color w:val="333333"/>
                <w:sz w:val="19"/>
                <w:szCs w:val="19"/>
              </w:rPr>
              <w:t>SESE</w:t>
            </w:r>
          </w:p>
        </w:tc>
        <w:tc>
          <w:tcPr>
            <w:tcW w:w="2500"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29B10EE8" w14:textId="77777777" w:rsidR="00FF061D" w:rsidRDefault="00000000">
            <w:pPr>
              <w:jc w:val="center"/>
            </w:pPr>
            <w:r>
              <w:rPr>
                <w:color w:val="333333"/>
                <w:sz w:val="19"/>
                <w:szCs w:val="19"/>
              </w:rPr>
              <w:t>Super Copa (6-8 en J15)</w:t>
            </w:r>
          </w:p>
        </w:tc>
        <w:tc>
          <w:tcPr>
            <w:tcW w:w="20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0895ACDB" w14:textId="77777777" w:rsidR="00FF061D" w:rsidRDefault="00000000">
            <w:pPr>
              <w:jc w:val="center"/>
            </w:pPr>
            <w:r>
              <w:rPr>
                <w:color w:val="333333"/>
                <w:sz w:val="19"/>
                <w:szCs w:val="19"/>
              </w:rPr>
              <w:t>Riesgo descenso a Copa Cat.</w:t>
            </w:r>
          </w:p>
        </w:tc>
        <w:tc>
          <w:tcPr>
            <w:tcW w:w="2013" w:type="dxa"/>
            <w:tcBorders>
              <w:top w:val="single" w:sz="1" w:space="0" w:color="AAAAAA"/>
              <w:left w:val="single" w:sz="1" w:space="0" w:color="AAAAAA"/>
              <w:bottom w:val="single" w:sz="1" w:space="0" w:color="AAAAAA"/>
              <w:right w:val="single" w:sz="1" w:space="0" w:color="AAAAAA"/>
            </w:tcBorders>
            <w:shd w:val="clear" w:color="auto" w:fill="E8EDF2"/>
            <w:tcMar>
              <w:top w:w="60" w:type="dxa"/>
              <w:left w:w="100" w:type="dxa"/>
              <w:bottom w:w="60" w:type="dxa"/>
              <w:right w:w="100" w:type="dxa"/>
            </w:tcMar>
            <w:vAlign w:val="center"/>
          </w:tcPr>
          <w:p w14:paraId="7115077A" w14:textId="77777777" w:rsidR="00FF061D" w:rsidRDefault="00000000">
            <w:pPr>
              <w:jc w:val="center"/>
            </w:pPr>
            <w:r>
              <w:rPr>
                <w:color w:val="333333"/>
                <w:sz w:val="19"/>
                <w:szCs w:val="19"/>
              </w:rPr>
              <w:t>BCN pierde club histórico</w:t>
            </w:r>
          </w:p>
        </w:tc>
      </w:tr>
      <w:tr w:rsidR="00FF061D" w14:paraId="565CFF68"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F74948A" w14:textId="77777777" w:rsidR="00FF061D" w:rsidRDefault="00000000">
            <w:r>
              <w:rPr>
                <w:b/>
                <w:bCs/>
                <w:color w:val="1B3A5C"/>
                <w:sz w:val="19"/>
                <w:szCs w:val="19"/>
              </w:rPr>
              <w:t xml:space="preserve">CB </w:t>
            </w:r>
            <w:proofErr w:type="spellStart"/>
            <w:r>
              <w:rPr>
                <w:b/>
                <w:bCs/>
                <w:color w:val="1B3A5C"/>
                <w:sz w:val="19"/>
                <w:szCs w:val="19"/>
              </w:rPr>
              <w:t>Grup</w:t>
            </w:r>
            <w:proofErr w:type="spellEnd"/>
            <w:r>
              <w:rPr>
                <w:b/>
                <w:bCs/>
                <w:color w:val="1B3A5C"/>
                <w:sz w:val="19"/>
                <w:szCs w:val="19"/>
              </w:rPr>
              <w:t xml:space="preserve"> Barna</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56733A36" w14:textId="77777777" w:rsidR="00FF061D" w:rsidRDefault="00000000">
            <w:pPr>
              <w:jc w:val="center"/>
            </w:pPr>
            <w:r>
              <w:rPr>
                <w:color w:val="333333"/>
                <w:sz w:val="19"/>
                <w:szCs w:val="19"/>
              </w:rPr>
              <w:t>Super Copa (10-4 en J15)</w:t>
            </w:r>
          </w:p>
        </w:tc>
        <w:tc>
          <w:tcPr>
            <w:tcW w:w="20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D8D1FC8" w14:textId="77777777" w:rsidR="00FF061D" w:rsidRDefault="00000000">
            <w:pPr>
              <w:jc w:val="center"/>
            </w:pPr>
            <w:r>
              <w:rPr>
                <w:color w:val="333333"/>
                <w:sz w:val="19"/>
                <w:szCs w:val="19"/>
              </w:rPr>
              <w:t>Opciones ascenso a LF2</w:t>
            </w:r>
          </w:p>
        </w:tc>
        <w:tc>
          <w:tcPr>
            <w:tcW w:w="2013"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A09004A" w14:textId="77777777" w:rsidR="00FF061D" w:rsidRDefault="00000000">
            <w:pPr>
              <w:jc w:val="center"/>
            </w:pPr>
            <w:r>
              <w:rPr>
                <w:color w:val="1A7A1A"/>
                <w:sz w:val="19"/>
                <w:szCs w:val="19"/>
              </w:rPr>
              <w:t>BCN gana representación FEB</w:t>
            </w:r>
          </w:p>
        </w:tc>
      </w:tr>
    </w:tbl>
    <w:p w14:paraId="48BF2188" w14:textId="77777777" w:rsidR="00FF061D" w:rsidRDefault="00FF061D">
      <w:pPr>
        <w:spacing w:after="80"/>
      </w:pPr>
    </w:p>
    <w:p w14:paraId="677635B2" w14:textId="77777777" w:rsidR="00FF061D" w:rsidRDefault="00000000">
      <w:pPr>
        <w:spacing w:after="160" w:line="276" w:lineRule="auto"/>
        <w:jc w:val="both"/>
      </w:pPr>
      <w:r>
        <w:rPr>
          <w:color w:val="333333"/>
        </w:rPr>
        <w:t xml:space="preserve">En el peor escenario, Barcelona podría acabar la próxima temporada sin ningún equipo comunitario en LF </w:t>
      </w:r>
      <w:proofErr w:type="spellStart"/>
      <w:r>
        <w:rPr>
          <w:color w:val="333333"/>
        </w:rPr>
        <w:t>Challenge</w:t>
      </w:r>
      <w:proofErr w:type="spellEnd"/>
      <w:r>
        <w:rPr>
          <w:color w:val="333333"/>
        </w:rPr>
        <w:t xml:space="preserve"> y con un solo club histórico en la Super Copa catalana. En el mejor escenario, el CB </w:t>
      </w:r>
      <w:proofErr w:type="spellStart"/>
      <w:r>
        <w:rPr>
          <w:color w:val="333333"/>
        </w:rPr>
        <w:t>Grup</w:t>
      </w:r>
      <w:proofErr w:type="spellEnd"/>
      <w:r>
        <w:rPr>
          <w:color w:val="333333"/>
        </w:rPr>
        <w:t xml:space="preserve"> Barna daría el salto a LF2 como club genuinamente de Barcelona ciudad, llenando un vacío que ninguna otra entidad está en condiciones de cubrir.</w:t>
      </w:r>
    </w:p>
    <w:p w14:paraId="3CF6DEF5" w14:textId="77777777" w:rsidR="00FF061D" w:rsidRDefault="00000000">
      <w:r>
        <w:br w:type="page"/>
      </w:r>
    </w:p>
    <w:p w14:paraId="65D4290E" w14:textId="77777777" w:rsidR="00FF061D" w:rsidRDefault="00000000">
      <w:pPr>
        <w:pStyle w:val="Ttulo1"/>
        <w:pBdr>
          <w:bottom w:val="single" w:sz="2" w:space="6" w:color="1B3A5C"/>
        </w:pBdr>
      </w:pPr>
      <w:bookmarkStart w:id="17" w:name="_Toc224839646"/>
      <w:r>
        <w:lastRenderedPageBreak/>
        <w:t>6. PROPUESTA DE COLABORACIÓN INSTITUCIONAL</w:t>
      </w:r>
      <w:bookmarkEnd w:id="17"/>
    </w:p>
    <w:p w14:paraId="1737E5F0" w14:textId="77777777" w:rsidR="00FF061D" w:rsidRDefault="00000000">
      <w:pPr>
        <w:spacing w:after="160" w:line="276" w:lineRule="auto"/>
        <w:jc w:val="both"/>
      </w:pPr>
      <w:r>
        <w:rPr>
          <w:color w:val="333333"/>
        </w:rPr>
        <w:t xml:space="preserve">El presente informe no solicita una subvención puntual, sino el establecimiento de un marco de colaboración estratégica entre el </w:t>
      </w:r>
      <w:proofErr w:type="spellStart"/>
      <w:r>
        <w:rPr>
          <w:color w:val="333333"/>
        </w:rPr>
        <w:t>Ajuntament</w:t>
      </w:r>
      <w:proofErr w:type="spellEnd"/>
      <w:r>
        <w:rPr>
          <w:color w:val="333333"/>
        </w:rPr>
        <w:t xml:space="preserve"> de Barcelona y el CB </w:t>
      </w:r>
      <w:proofErr w:type="spellStart"/>
      <w:r>
        <w:rPr>
          <w:color w:val="333333"/>
        </w:rPr>
        <w:t>Grup</w:t>
      </w:r>
      <w:proofErr w:type="spellEnd"/>
      <w:r>
        <w:rPr>
          <w:color w:val="333333"/>
        </w:rPr>
        <w:t xml:space="preserve"> Barna que permita al club completar su proyecto de desarrollo del baloncesto femenino en la ciudad. Las líneas de colaboración que se proponen son:</w:t>
      </w:r>
    </w:p>
    <w:p w14:paraId="567CF896" w14:textId="77777777" w:rsidR="00FF061D" w:rsidRDefault="00000000">
      <w:pPr>
        <w:pStyle w:val="Ttulo2"/>
      </w:pPr>
      <w:bookmarkStart w:id="18" w:name="_Toc224839647"/>
      <w:r>
        <w:t>6.1 Acceso estable a instalaciones deportivas municipales</w:t>
      </w:r>
      <w:bookmarkEnd w:id="18"/>
    </w:p>
    <w:p w14:paraId="13596883" w14:textId="77777777" w:rsidR="00FF061D" w:rsidRDefault="00000000">
      <w:pPr>
        <w:spacing w:after="160" w:line="276" w:lineRule="auto"/>
        <w:jc w:val="both"/>
      </w:pPr>
      <w:r>
        <w:rPr>
          <w:color w:val="333333"/>
        </w:rPr>
        <w:t>La mayor barrera operativa para el crecimiento del baloncesto femenino en Barcelona es la saturación de pabellones. Un acuerdo de cesión de uso estable (no por horas sueltas) de un pabellón municipal en el distrito de Sant Martí permitiría al club centralizar entrenamientos, partidos oficiales y actividades de cantera, reduciendo drásticamente los costes de alquiler que actualmente lastran a los clubs barceloneses. El caso del Lima-Horta, que destina 110.000 euros anuales a alquileres de pistas, ilustra la urgencia de esta medida.</w:t>
      </w:r>
    </w:p>
    <w:p w14:paraId="680B3125" w14:textId="77777777" w:rsidR="00FF061D" w:rsidRDefault="00000000">
      <w:pPr>
        <w:pStyle w:val="Ttulo2"/>
      </w:pPr>
      <w:bookmarkStart w:id="19" w:name="_Toc224839648"/>
      <w:r>
        <w:t>6.2 Reconocimiento como proyecto estratégico de deporte femenino de base</w:t>
      </w:r>
      <w:bookmarkEnd w:id="19"/>
    </w:p>
    <w:p w14:paraId="10694431" w14:textId="77777777" w:rsidR="00FF061D" w:rsidRDefault="00000000">
      <w:pPr>
        <w:spacing w:after="160" w:line="276" w:lineRule="auto"/>
        <w:jc w:val="both"/>
      </w:pPr>
      <w:r>
        <w:rPr>
          <w:color w:val="333333"/>
        </w:rPr>
        <w:t xml:space="preserve">La inclusión del CB </w:t>
      </w:r>
      <w:proofErr w:type="spellStart"/>
      <w:r>
        <w:rPr>
          <w:color w:val="333333"/>
        </w:rPr>
        <w:t>Grup</w:t>
      </w:r>
      <w:proofErr w:type="spellEnd"/>
      <w:r>
        <w:rPr>
          <w:color w:val="333333"/>
        </w:rPr>
        <w:t xml:space="preserve"> Barna en los programas municipales de promoción del deporte femenino y de apoyo a clubs de barrio reforzaría la visibilidad del proyecto y facilitaría el acceso a líneas de financiación específicas. Barcelona aspira a ser referente en igualdad de género en el deporte; apoyar al único club de la ciudad con un modelo sostenible de baloncesto femenino competitivo es coherente con esta aspiración.</w:t>
      </w:r>
    </w:p>
    <w:p w14:paraId="3169C6EC" w14:textId="77777777" w:rsidR="00FF061D" w:rsidRDefault="00000000">
      <w:pPr>
        <w:pStyle w:val="Ttulo2"/>
      </w:pPr>
      <w:bookmarkStart w:id="20" w:name="_Toc224839649"/>
      <w:r>
        <w:t>6.3 Apoyo logístico para la competición estatal</w:t>
      </w:r>
      <w:bookmarkEnd w:id="20"/>
    </w:p>
    <w:p w14:paraId="42010B46" w14:textId="77777777" w:rsidR="00FF061D" w:rsidRDefault="00000000">
      <w:pPr>
        <w:spacing w:after="160" w:line="276" w:lineRule="auto"/>
        <w:jc w:val="both"/>
      </w:pPr>
      <w:r>
        <w:rPr>
          <w:color w:val="333333"/>
        </w:rPr>
        <w:t xml:space="preserve">Si el CB </w:t>
      </w:r>
      <w:proofErr w:type="spellStart"/>
      <w:r>
        <w:rPr>
          <w:color w:val="333333"/>
        </w:rPr>
        <w:t>Grup</w:t>
      </w:r>
      <w:proofErr w:type="spellEnd"/>
      <w:r>
        <w:rPr>
          <w:color w:val="333333"/>
        </w:rPr>
        <w:t xml:space="preserve"> Barna accede a la LF2, los costes de desplazamiento (viajes cada fin de semana alterno a Canarias, Galicia, Extremadura, País Vasco) representarán el principal incremento presupuestario. Un programa de ayudas a la movilidad deportiva o el acceso a tarifas preferentes en transporte público para equipos femeninos de competición estatal sería una medida de bajo coste con alto impacto.</w:t>
      </w:r>
    </w:p>
    <w:p w14:paraId="3D1A5778" w14:textId="77777777" w:rsidR="00FF061D" w:rsidRDefault="00000000">
      <w:pPr>
        <w:pStyle w:val="Ttulo2"/>
      </w:pPr>
      <w:bookmarkStart w:id="21" w:name="_Toc224839650"/>
      <w:r>
        <w:t>6.4 Programa de retención de talento femenino</w:t>
      </w:r>
      <w:bookmarkEnd w:id="21"/>
    </w:p>
    <w:p w14:paraId="369A64AC" w14:textId="77777777" w:rsidR="00FF061D" w:rsidRDefault="00000000">
      <w:pPr>
        <w:spacing w:after="160" w:line="276" w:lineRule="auto"/>
        <w:jc w:val="both"/>
      </w:pPr>
      <w:r>
        <w:rPr>
          <w:color w:val="333333"/>
        </w:rPr>
        <w:t>La fuga de jugadoras barcelonesas hacia clubs del cinturón metropolitano es un problema sistémico. Un programa municipal de becas deportivas para jugadoras de baloncesto femenino que compitan en clubs de Barcelona ciudad, vinculado a rendimiento académico y deportivo, contribuiría a retener el talento que actualmente se pierde hacia municipios vecinos.</w:t>
      </w:r>
    </w:p>
    <w:p w14:paraId="5C14D84D" w14:textId="77777777" w:rsidR="00FF061D" w:rsidRDefault="00000000">
      <w:r>
        <w:br w:type="page"/>
      </w:r>
    </w:p>
    <w:p w14:paraId="26BAD632" w14:textId="77777777" w:rsidR="00FF061D" w:rsidRDefault="00000000">
      <w:pPr>
        <w:pStyle w:val="Ttulo1"/>
        <w:pBdr>
          <w:bottom w:val="single" w:sz="2" w:space="6" w:color="1B3A5C"/>
        </w:pBdr>
      </w:pPr>
      <w:bookmarkStart w:id="22" w:name="_Toc224839651"/>
      <w:r>
        <w:lastRenderedPageBreak/>
        <w:t>7. CONCLUSIÓN</w:t>
      </w:r>
      <w:bookmarkEnd w:id="22"/>
    </w:p>
    <w:p w14:paraId="68B7F5EE" w14:textId="77777777" w:rsidR="00FF061D" w:rsidRDefault="00000000">
      <w:pPr>
        <w:spacing w:after="160" w:line="276" w:lineRule="auto"/>
        <w:jc w:val="both"/>
      </w:pPr>
      <w:r>
        <w:rPr>
          <w:color w:val="333333"/>
        </w:rPr>
        <w:t>Barcelona tiene una deuda histórica con el baloncesto femenino</w:t>
      </w:r>
      <w:r w:rsidRPr="00173D4A">
        <w:rPr>
          <w:color w:val="333333"/>
          <w:highlight w:val="yellow"/>
        </w:rPr>
        <w:t>. La segunda ciudad de España no ha sido capaz de sostener un proyecto comunitario de baloncesto femenino en ligas estatales de forma continuada, mientras que municipios de su propia área metropolitana</w:t>
      </w:r>
      <w:r>
        <w:rPr>
          <w:color w:val="333333"/>
        </w:rPr>
        <w:t xml:space="preserve"> con una fracción de su población sí lo han conseguido.</w:t>
      </w:r>
    </w:p>
    <w:p w14:paraId="7462AD62" w14:textId="77777777" w:rsidR="00FF061D" w:rsidRDefault="00000000">
      <w:pPr>
        <w:spacing w:after="160" w:line="276" w:lineRule="auto"/>
        <w:jc w:val="both"/>
      </w:pPr>
      <w:r>
        <w:rPr>
          <w:color w:val="333333"/>
        </w:rPr>
        <w:t>Los modelos de dependencia de grandes entidades (FC Barcelona) han demostrado ser insostenibles. El único club comunitario barcelonés en ligas FEB, el Lima-Horta, sobrevive en condiciones de extrema precariedad. Y clubs históricos como el SESE luchan por mantener su plaza incluso en la competición catalana.</w:t>
      </w:r>
    </w:p>
    <w:p w14:paraId="08A28775" w14:textId="77777777" w:rsidR="00FF061D" w:rsidRDefault="00000000">
      <w:pPr>
        <w:spacing w:after="160" w:line="276" w:lineRule="auto"/>
        <w:jc w:val="both"/>
      </w:pPr>
      <w:r>
        <w:rPr>
          <w:color w:val="333333"/>
        </w:rPr>
        <w:t xml:space="preserve">En este contexto, el CB </w:t>
      </w:r>
      <w:proofErr w:type="spellStart"/>
      <w:r>
        <w:rPr>
          <w:color w:val="333333"/>
        </w:rPr>
        <w:t>Grup</w:t>
      </w:r>
      <w:proofErr w:type="spellEnd"/>
      <w:r>
        <w:rPr>
          <w:color w:val="333333"/>
        </w:rPr>
        <w:t xml:space="preserve"> Barna representa un modelo diferente: un club de barrio con 60 años de historia, cantera propia, dos equipos sénior femeninos, gestión sostenible y una trayectoria ascendente que lo sitúa a las puertas de la LF2. Acompañar este proyecto con apoyo institucional no es solo una decisión deportiva; es una decisión de política social, de igualdad de género y de cohesión territorial que situaría a Barcelona en el lugar que le corresponde en el mapa del baloncesto femenino español.</w:t>
      </w:r>
    </w:p>
    <w:p w14:paraId="5E335AE9" w14:textId="77777777" w:rsidR="00FF061D" w:rsidRDefault="00FF061D">
      <w:pPr>
        <w:spacing w:after="80"/>
      </w:pPr>
    </w:p>
    <w:p w14:paraId="73337A74" w14:textId="77777777" w:rsidR="00FF061D" w:rsidRDefault="00FF061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F061D" w14:paraId="1C79D9C9" w14:textId="77777777">
        <w:tblPrEx>
          <w:tblCellMar>
            <w:top w:w="0" w:type="dxa"/>
            <w:bottom w:w="0" w:type="dxa"/>
          </w:tblCellMar>
        </w:tblPrEx>
        <w:tc>
          <w:tcPr>
            <w:tcW w:w="4513" w:type="dxa"/>
          </w:tcPr>
          <w:p w14:paraId="18ED9DDE" w14:textId="77777777" w:rsidR="00FF061D" w:rsidRDefault="00000000">
            <w:pPr>
              <w:spacing w:after="60"/>
              <w:jc w:val="center"/>
            </w:pPr>
            <w:r>
              <w:rPr>
                <w:b/>
                <w:bCs/>
                <w:color w:val="1B3A5C"/>
                <w:sz w:val="22"/>
                <w:szCs w:val="22"/>
              </w:rPr>
              <w:t xml:space="preserve">CB </w:t>
            </w:r>
            <w:proofErr w:type="spellStart"/>
            <w:r>
              <w:rPr>
                <w:b/>
                <w:bCs/>
                <w:color w:val="1B3A5C"/>
                <w:sz w:val="22"/>
                <w:szCs w:val="22"/>
              </w:rPr>
              <w:t>Grup</w:t>
            </w:r>
            <w:proofErr w:type="spellEnd"/>
            <w:r>
              <w:rPr>
                <w:b/>
                <w:bCs/>
                <w:color w:val="1B3A5C"/>
                <w:sz w:val="22"/>
                <w:szCs w:val="22"/>
              </w:rPr>
              <w:t xml:space="preserve"> Barna</w:t>
            </w:r>
          </w:p>
          <w:p w14:paraId="6ECE0C83" w14:textId="77777777" w:rsidR="00FF061D" w:rsidRDefault="00000000">
            <w:pPr>
              <w:spacing w:after="60"/>
              <w:jc w:val="center"/>
            </w:pPr>
            <w:r>
              <w:rPr>
                <w:color w:val="666666"/>
                <w:sz w:val="19"/>
                <w:szCs w:val="19"/>
              </w:rPr>
              <w:t xml:space="preserve">Club de </w:t>
            </w:r>
            <w:proofErr w:type="spellStart"/>
            <w:r>
              <w:rPr>
                <w:color w:val="666666"/>
                <w:sz w:val="19"/>
                <w:szCs w:val="19"/>
              </w:rPr>
              <w:t>Bàsquet</w:t>
            </w:r>
            <w:proofErr w:type="spellEnd"/>
            <w:r>
              <w:rPr>
                <w:color w:val="666666"/>
                <w:sz w:val="19"/>
                <w:szCs w:val="19"/>
              </w:rPr>
              <w:t xml:space="preserve"> del Clot</w:t>
            </w:r>
          </w:p>
          <w:p w14:paraId="71C2E6A3" w14:textId="77777777" w:rsidR="00FF061D" w:rsidRDefault="00000000">
            <w:pPr>
              <w:jc w:val="center"/>
            </w:pPr>
            <w:proofErr w:type="spellStart"/>
            <w:r>
              <w:rPr>
                <w:color w:val="666666"/>
                <w:sz w:val="19"/>
                <w:szCs w:val="19"/>
              </w:rPr>
              <w:t>Districte</w:t>
            </w:r>
            <w:proofErr w:type="spellEnd"/>
            <w:r>
              <w:rPr>
                <w:color w:val="666666"/>
                <w:sz w:val="19"/>
                <w:szCs w:val="19"/>
              </w:rPr>
              <w:t xml:space="preserve"> de Sant Martí, Barcelona</w:t>
            </w:r>
          </w:p>
        </w:tc>
        <w:tc>
          <w:tcPr>
            <w:tcW w:w="4513" w:type="dxa"/>
          </w:tcPr>
          <w:p w14:paraId="5D16EE61" w14:textId="77777777" w:rsidR="00FF061D" w:rsidRDefault="00000000">
            <w:pPr>
              <w:spacing w:after="60"/>
              <w:jc w:val="center"/>
            </w:pPr>
            <w:r>
              <w:rPr>
                <w:b/>
                <w:bCs/>
                <w:color w:val="1B3A5C"/>
                <w:sz w:val="22"/>
                <w:szCs w:val="22"/>
              </w:rPr>
              <w:t>Febrero de 2026</w:t>
            </w:r>
          </w:p>
          <w:p w14:paraId="53C3E01F" w14:textId="77777777" w:rsidR="00FF061D" w:rsidRDefault="00000000">
            <w:pPr>
              <w:jc w:val="center"/>
            </w:pPr>
            <w:r>
              <w:rPr>
                <w:color w:val="666666"/>
                <w:sz w:val="19"/>
                <w:szCs w:val="19"/>
              </w:rPr>
              <w:t>www.cbgrupbarna.com</w:t>
            </w:r>
          </w:p>
        </w:tc>
      </w:tr>
    </w:tbl>
    <w:p w14:paraId="09A4A34E" w14:textId="77777777" w:rsidR="00C47C27" w:rsidRDefault="00C47C27"/>
    <w:sectPr w:rsidR="00C47C2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B1D" w14:textId="77777777" w:rsidR="00C47C27" w:rsidRDefault="00C47C27">
      <w:r>
        <w:separator/>
      </w:r>
    </w:p>
  </w:endnote>
  <w:endnote w:type="continuationSeparator" w:id="0">
    <w:p w14:paraId="4477A854" w14:textId="77777777" w:rsidR="00C47C27" w:rsidRDefault="00C4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7CD5" w14:textId="77777777" w:rsidR="00FF061D" w:rsidRDefault="00000000">
    <w:pPr>
      <w:jc w:val="center"/>
    </w:pPr>
    <w:r>
      <w:rPr>
        <w:color w:val="666666"/>
        <w:sz w:val="16"/>
        <w:szCs w:val="16"/>
      </w:rPr>
      <w:t xml:space="preserve">CB </w:t>
    </w:r>
    <w:proofErr w:type="spellStart"/>
    <w:r>
      <w:rPr>
        <w:color w:val="666666"/>
        <w:sz w:val="16"/>
        <w:szCs w:val="16"/>
      </w:rPr>
      <w:t>Grup</w:t>
    </w:r>
    <w:proofErr w:type="spellEnd"/>
    <w:r>
      <w:rPr>
        <w:color w:val="666666"/>
        <w:sz w:val="16"/>
        <w:szCs w:val="16"/>
      </w:rPr>
      <w:t xml:space="preserve"> Barna – Página </w:t>
    </w:r>
    <w:r>
      <w:rPr>
        <w:color w:val="666666"/>
        <w:sz w:val="16"/>
        <w:szCs w:val="16"/>
      </w:rPr>
      <w:fldChar w:fldCharType="begin"/>
    </w:r>
    <w:r>
      <w:rPr>
        <w:color w:val="666666"/>
        <w:sz w:val="16"/>
        <w:szCs w:val="16"/>
      </w:rPr>
      <w:instrText>PAGE</w:instrText>
    </w:r>
    <w:r>
      <w:rPr>
        <w:color w:val="666666"/>
        <w:sz w:val="16"/>
        <w:szCs w:val="16"/>
      </w:rPr>
      <w:fldChar w:fldCharType="separate"/>
    </w:r>
    <w:r w:rsidR="00173D4A">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0FAA" w14:textId="77777777" w:rsidR="00C47C27" w:rsidRDefault="00C47C27">
      <w:r>
        <w:separator/>
      </w:r>
    </w:p>
  </w:footnote>
  <w:footnote w:type="continuationSeparator" w:id="0">
    <w:p w14:paraId="74417D8C" w14:textId="77777777" w:rsidR="00C47C27" w:rsidRDefault="00C4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557E" w14:textId="77777777" w:rsidR="00FF061D" w:rsidRDefault="00000000">
    <w:pPr>
      <w:jc w:val="right"/>
    </w:pPr>
    <w:r>
      <w:rPr>
        <w:i/>
        <w:iCs/>
        <w:color w:val="666666"/>
        <w:sz w:val="16"/>
        <w:szCs w:val="16"/>
      </w:rPr>
      <w:t>Informe Institucional – Baloncesto Femenino en Barcelona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A136E"/>
    <w:multiLevelType w:val="hybridMultilevel"/>
    <w:tmpl w:val="2E2CB890"/>
    <w:lvl w:ilvl="0" w:tplc="DD5C8DAA">
      <w:start w:val="1"/>
      <w:numFmt w:val="bullet"/>
      <w:lvlText w:val="•"/>
      <w:lvlJc w:val="left"/>
      <w:pPr>
        <w:ind w:left="720" w:hanging="360"/>
      </w:pPr>
    </w:lvl>
    <w:lvl w:ilvl="1" w:tplc="1C7ABEFC">
      <w:numFmt w:val="decimal"/>
      <w:lvlText w:val=""/>
      <w:lvlJc w:val="left"/>
    </w:lvl>
    <w:lvl w:ilvl="2" w:tplc="72A80CE2">
      <w:numFmt w:val="decimal"/>
      <w:lvlText w:val=""/>
      <w:lvlJc w:val="left"/>
    </w:lvl>
    <w:lvl w:ilvl="3" w:tplc="9A8682E6">
      <w:numFmt w:val="decimal"/>
      <w:lvlText w:val=""/>
      <w:lvlJc w:val="left"/>
    </w:lvl>
    <w:lvl w:ilvl="4" w:tplc="267A740E">
      <w:numFmt w:val="decimal"/>
      <w:lvlText w:val=""/>
      <w:lvlJc w:val="left"/>
    </w:lvl>
    <w:lvl w:ilvl="5" w:tplc="D2884A82">
      <w:numFmt w:val="decimal"/>
      <w:lvlText w:val=""/>
      <w:lvlJc w:val="left"/>
    </w:lvl>
    <w:lvl w:ilvl="6" w:tplc="EFAEA51C">
      <w:numFmt w:val="decimal"/>
      <w:lvlText w:val=""/>
      <w:lvlJc w:val="left"/>
    </w:lvl>
    <w:lvl w:ilvl="7" w:tplc="BC9A0EE8">
      <w:numFmt w:val="decimal"/>
      <w:lvlText w:val=""/>
      <w:lvlJc w:val="left"/>
    </w:lvl>
    <w:lvl w:ilvl="8" w:tplc="1742967E">
      <w:numFmt w:val="decimal"/>
      <w:lvlText w:val=""/>
      <w:lvlJc w:val="left"/>
    </w:lvl>
  </w:abstractNum>
  <w:abstractNum w:abstractNumId="1" w15:restartNumberingAfterBreak="0">
    <w:nsid w:val="4D9639C0"/>
    <w:multiLevelType w:val="hybridMultilevel"/>
    <w:tmpl w:val="42D2BEB2"/>
    <w:lvl w:ilvl="0" w:tplc="366E9508">
      <w:start w:val="1"/>
      <w:numFmt w:val="bullet"/>
      <w:lvlText w:val="●"/>
      <w:lvlJc w:val="left"/>
      <w:pPr>
        <w:ind w:left="720" w:hanging="360"/>
      </w:pPr>
    </w:lvl>
    <w:lvl w:ilvl="1" w:tplc="EF0675D2">
      <w:start w:val="1"/>
      <w:numFmt w:val="bullet"/>
      <w:lvlText w:val="○"/>
      <w:lvlJc w:val="left"/>
      <w:pPr>
        <w:ind w:left="1440" w:hanging="360"/>
      </w:pPr>
    </w:lvl>
    <w:lvl w:ilvl="2" w:tplc="5CCC58C0">
      <w:start w:val="1"/>
      <w:numFmt w:val="bullet"/>
      <w:lvlText w:val="■"/>
      <w:lvlJc w:val="left"/>
      <w:pPr>
        <w:ind w:left="2160" w:hanging="360"/>
      </w:pPr>
    </w:lvl>
    <w:lvl w:ilvl="3" w:tplc="44DE6350">
      <w:start w:val="1"/>
      <w:numFmt w:val="bullet"/>
      <w:lvlText w:val="●"/>
      <w:lvlJc w:val="left"/>
      <w:pPr>
        <w:ind w:left="2880" w:hanging="360"/>
      </w:pPr>
    </w:lvl>
    <w:lvl w:ilvl="4" w:tplc="926A675C">
      <w:start w:val="1"/>
      <w:numFmt w:val="bullet"/>
      <w:lvlText w:val="○"/>
      <w:lvlJc w:val="left"/>
      <w:pPr>
        <w:ind w:left="3600" w:hanging="360"/>
      </w:pPr>
    </w:lvl>
    <w:lvl w:ilvl="5" w:tplc="9B381A0E">
      <w:start w:val="1"/>
      <w:numFmt w:val="bullet"/>
      <w:lvlText w:val="■"/>
      <w:lvlJc w:val="left"/>
      <w:pPr>
        <w:ind w:left="4320" w:hanging="360"/>
      </w:pPr>
    </w:lvl>
    <w:lvl w:ilvl="6" w:tplc="DF240B34">
      <w:start w:val="1"/>
      <w:numFmt w:val="bullet"/>
      <w:lvlText w:val="●"/>
      <w:lvlJc w:val="left"/>
      <w:pPr>
        <w:ind w:left="5040" w:hanging="360"/>
      </w:pPr>
    </w:lvl>
    <w:lvl w:ilvl="7" w:tplc="22128C06">
      <w:start w:val="1"/>
      <w:numFmt w:val="bullet"/>
      <w:lvlText w:val="●"/>
      <w:lvlJc w:val="left"/>
      <w:pPr>
        <w:ind w:left="5760" w:hanging="360"/>
      </w:pPr>
    </w:lvl>
    <w:lvl w:ilvl="8" w:tplc="2BB87F78">
      <w:start w:val="1"/>
      <w:numFmt w:val="bullet"/>
      <w:lvlText w:val="●"/>
      <w:lvlJc w:val="left"/>
      <w:pPr>
        <w:ind w:left="6480" w:hanging="360"/>
      </w:pPr>
    </w:lvl>
  </w:abstractNum>
  <w:abstractNum w:abstractNumId="2" w15:restartNumberingAfterBreak="0">
    <w:nsid w:val="54127EA9"/>
    <w:multiLevelType w:val="hybridMultilevel"/>
    <w:tmpl w:val="E1FC3B58"/>
    <w:lvl w:ilvl="0" w:tplc="312E0EFC">
      <w:start w:val="1"/>
      <w:numFmt w:val="decimal"/>
      <w:lvlText w:val="%1."/>
      <w:lvlJc w:val="left"/>
      <w:pPr>
        <w:ind w:left="720" w:hanging="360"/>
      </w:pPr>
    </w:lvl>
    <w:lvl w:ilvl="1" w:tplc="48F2B9AC">
      <w:numFmt w:val="decimal"/>
      <w:lvlText w:val=""/>
      <w:lvlJc w:val="left"/>
    </w:lvl>
    <w:lvl w:ilvl="2" w:tplc="752C813A">
      <w:numFmt w:val="decimal"/>
      <w:lvlText w:val=""/>
      <w:lvlJc w:val="left"/>
    </w:lvl>
    <w:lvl w:ilvl="3" w:tplc="092C2616">
      <w:numFmt w:val="decimal"/>
      <w:lvlText w:val=""/>
      <w:lvlJc w:val="left"/>
    </w:lvl>
    <w:lvl w:ilvl="4" w:tplc="989287AA">
      <w:numFmt w:val="decimal"/>
      <w:lvlText w:val=""/>
      <w:lvlJc w:val="left"/>
    </w:lvl>
    <w:lvl w:ilvl="5" w:tplc="F6E69696">
      <w:numFmt w:val="decimal"/>
      <w:lvlText w:val=""/>
      <w:lvlJc w:val="left"/>
    </w:lvl>
    <w:lvl w:ilvl="6" w:tplc="9EDC0DD2">
      <w:numFmt w:val="decimal"/>
      <w:lvlText w:val=""/>
      <w:lvlJc w:val="left"/>
    </w:lvl>
    <w:lvl w:ilvl="7" w:tplc="7FF4568C">
      <w:numFmt w:val="decimal"/>
      <w:lvlText w:val=""/>
      <w:lvlJc w:val="left"/>
    </w:lvl>
    <w:lvl w:ilvl="8" w:tplc="8C9010AC">
      <w:numFmt w:val="decimal"/>
      <w:lvlText w:val=""/>
      <w:lvlJc w:val="left"/>
    </w:lvl>
  </w:abstractNum>
  <w:num w:numId="1" w16cid:durableId="16738783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1D"/>
    <w:rsid w:val="00173D4A"/>
    <w:rsid w:val="00480099"/>
    <w:rsid w:val="00C47C27"/>
    <w:rsid w:val="00FF06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D0F4"/>
  <w15:docId w15:val="{B4176011-A9B9-9346-B34E-C06C22B0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00" w:after="200"/>
      <w:outlineLvl w:val="0"/>
    </w:pPr>
    <w:rPr>
      <w:b/>
      <w:bCs/>
      <w:color w:val="1B3A5C"/>
      <w:sz w:val="28"/>
      <w:szCs w:val="28"/>
    </w:rPr>
  </w:style>
  <w:style w:type="paragraph" w:styleId="Ttulo2">
    <w:name w:val="heading 2"/>
    <w:uiPriority w:val="9"/>
    <w:unhideWhenUsed/>
    <w:qFormat/>
    <w:pPr>
      <w:spacing w:before="300" w:after="150"/>
      <w:outlineLvl w:val="1"/>
    </w:pPr>
    <w:rPr>
      <w:b/>
      <w:bCs/>
      <w:color w:val="1B3A5C"/>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TDC1">
    <w:name w:val="toc 1"/>
    <w:basedOn w:val="Normal"/>
    <w:next w:val="Normal"/>
    <w:autoRedefine/>
    <w:uiPriority w:val="39"/>
    <w:unhideWhenUsed/>
    <w:rsid w:val="00173D4A"/>
    <w:pPr>
      <w:spacing w:after="100"/>
    </w:pPr>
  </w:style>
  <w:style w:type="paragraph" w:styleId="TDC2">
    <w:name w:val="toc 2"/>
    <w:basedOn w:val="Normal"/>
    <w:next w:val="Normal"/>
    <w:autoRedefine/>
    <w:uiPriority w:val="39"/>
    <w:unhideWhenUsed/>
    <w:rsid w:val="00173D4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2887</Words>
  <Characters>15881</Characters>
  <Application>Microsoft Office Word</Application>
  <DocSecurity>0</DocSecurity>
  <Lines>132</Lines>
  <Paragraphs>37</Paragraphs>
  <ScaleCrop>false</ScaleCrop>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 Fernandez</cp:lastModifiedBy>
  <cp:revision>2</cp:revision>
  <dcterms:created xsi:type="dcterms:W3CDTF">2026-02-11T06:12:00Z</dcterms:created>
  <dcterms:modified xsi:type="dcterms:W3CDTF">2026-03-19T18:26:00Z</dcterms:modified>
</cp:coreProperties>
</file>